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eastAsia"/>
        </w:rPr>
      </w:pPr>
      <w:bookmarkStart w:id="0" w:name="_Toc6318"/>
      <w:bookmarkStart w:id="1" w:name="_Toc30075"/>
      <w:r>
        <w:rPr>
          <w:rFonts w:hint="eastAsia"/>
        </w:rPr>
        <w:fldChar w:fldCharType="begin"/>
      </w:r>
      <w:r>
        <w:rPr>
          <w:rFonts w:hint="eastAsia"/>
        </w:rPr>
        <w:instrText xml:space="preserve">ADDIN CNKISM.UserStyle</w:instrText>
      </w:r>
      <w:r>
        <w:rPr>
          <w:rFonts w:hint="eastAsia"/>
        </w:rPr>
        <w:fldChar w:fldCharType="separate"/>
      </w:r>
      <w:r>
        <w:rPr>
          <w:rFonts w:hint="eastAsia"/>
        </w:rPr>
        <w:fldChar w:fldCharType="end"/>
      </w:r>
      <w:r>
        <w:rPr>
          <w:rFonts w:hint="eastAsia"/>
        </w:rPr>
        <w:t>生物工程专业培养方案</w:t>
      </w:r>
      <w:bookmarkEnd w:id="0"/>
      <w:bookmarkEnd w:id="1"/>
    </w:p>
    <w:p>
      <w:pPr>
        <w:pStyle w:val="11"/>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color w:val="auto"/>
          <w:sz w:val="28"/>
          <w:szCs w:val="24"/>
        </w:rPr>
      </w:pPr>
      <w:r>
        <w:rPr>
          <w:rFonts w:hint="eastAsia" w:ascii="Times New Roman" w:hAnsi="Times New Roman"/>
          <w:color w:val="auto"/>
          <w:sz w:val="28"/>
          <w:szCs w:val="24"/>
        </w:rPr>
        <w:t>专业代码：083001    普高生源</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eastAsia="方正黑体简体"/>
          <w:sz w:val="21"/>
          <w:szCs w:val="24"/>
        </w:rPr>
      </w:pPr>
      <w:r>
        <w:rPr>
          <w:rFonts w:hint="eastAsia" w:ascii="Times New Roman" w:hAnsi="Times New Roman" w:eastAsia="方正黑体简体"/>
          <w:sz w:val="21"/>
          <w:szCs w:val="24"/>
        </w:rPr>
        <w:t>一、培养目标</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本专业致力于培养德智体美劳全面发展，适应医药、食品、环境等生物工程相关领域经济建设需求，具有创新思维、终生学习、实践能力和团队合作能力，从事生物工程产品生产、工艺设计、生产管理、新技术研究和新产品开发的应用型高级专门人才。学生在毕业5年左右应达到如下目标：</w:t>
      </w:r>
    </w:p>
    <w:p>
      <w:pPr>
        <w:pStyle w:val="12"/>
        <w:keepNext w:val="0"/>
        <w:keepLines w:val="0"/>
        <w:pageBreakBefore w:val="0"/>
        <w:numPr>
          <w:ilvl w:val="0"/>
          <w:numId w:val="1"/>
        </w:numPr>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针对复杂生物工程问题，能够应用所学知识开展分析、研究及设计，跟踪、借鉴生物工程相关领域的新成果，通过持续学习适应发展；</w:t>
      </w:r>
    </w:p>
    <w:p>
      <w:pPr>
        <w:pStyle w:val="12"/>
        <w:keepNext w:val="0"/>
        <w:keepLines w:val="0"/>
        <w:pageBreakBefore w:val="0"/>
        <w:numPr>
          <w:ilvl w:val="0"/>
          <w:numId w:val="1"/>
        </w:numPr>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解决复杂生物工程问题时，能够综合考虑经济、环境及社会等因素；</w:t>
      </w:r>
    </w:p>
    <w:p>
      <w:pPr>
        <w:pStyle w:val="12"/>
        <w:keepNext w:val="0"/>
        <w:keepLines w:val="0"/>
        <w:pageBreakBefore w:val="0"/>
        <w:numPr>
          <w:ilvl w:val="0"/>
          <w:numId w:val="1"/>
        </w:numPr>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能够恪守职业规范、具有良好的团队意识、组织管理能力及创新能力。</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eastAsia="方正黑体简体"/>
          <w:sz w:val="21"/>
          <w:szCs w:val="24"/>
        </w:rPr>
      </w:pPr>
      <w:r>
        <w:rPr>
          <w:rFonts w:hint="eastAsia" w:ascii="Times New Roman" w:hAnsi="Times New Roman" w:eastAsia="方正黑体简体"/>
          <w:sz w:val="21"/>
          <w:szCs w:val="24"/>
        </w:rPr>
        <w:t>二、毕业要求</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本专业学生主要学习生物工程产品生产相关的基础理论、基本知识和基本技能，接受科学思维与实践创新方面的基本训练，掌握生物工程产品的科学研究方法与操作技术，具备分析、解决发酵工程或中药现代化领域产品研发和生产相关问题的基本能力。</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eastAsia" w:ascii="Times New Roman" w:hAnsi="Times New Roman"/>
          <w:sz w:val="21"/>
          <w:szCs w:val="24"/>
        </w:rPr>
        <w:t>毕业生应获得以下几方面的知识和能力：</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 </w:t>
      </w:r>
      <w:r>
        <w:rPr>
          <w:rFonts w:hint="eastAsia" w:ascii="Times New Roman" w:hAnsi="Times New Roman"/>
          <w:sz w:val="21"/>
          <w:szCs w:val="24"/>
        </w:rPr>
        <w:t>工程知识：掌握自然科学、生物学和工程基础学科的基本理论及专业知识，能够运用其原理和方法，用于解决复杂生物工程问题；</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color w:val="0000FF"/>
          <w:sz w:val="21"/>
          <w:szCs w:val="24"/>
        </w:rPr>
      </w:pPr>
      <w:r>
        <w:rPr>
          <w:rFonts w:hint="default" w:ascii="Times New Roman" w:hAnsi="Times New Roman"/>
          <w:sz w:val="21"/>
          <w:szCs w:val="24"/>
        </w:rPr>
        <w:t xml:space="preserve">2. </w:t>
      </w:r>
      <w:r>
        <w:rPr>
          <w:rFonts w:hint="eastAsia" w:ascii="Times New Roman" w:hAnsi="Times New Roman"/>
          <w:sz w:val="21"/>
          <w:szCs w:val="24"/>
        </w:rPr>
        <w:t>问题分析：能够运用数学、自然科学和工程科学的基本原理，识别、表达，并通过文献研究分析生物工程领域复杂工程问题中涉及的工艺优化、设备选型、实验设计、工程设计、基因表达、产品分离等问题，以获得有效结论；</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color w:val="0000FF"/>
          <w:sz w:val="21"/>
          <w:szCs w:val="24"/>
        </w:rPr>
      </w:pPr>
      <w:r>
        <w:rPr>
          <w:rFonts w:hint="default" w:ascii="Times New Roman" w:hAnsi="Times New Roman"/>
          <w:sz w:val="21"/>
          <w:szCs w:val="24"/>
        </w:rPr>
        <w:t xml:space="preserve">3. </w:t>
      </w:r>
      <w:r>
        <w:rPr>
          <w:rFonts w:hint="eastAsia" w:ascii="Times New Roman" w:hAnsi="Times New Roman"/>
          <w:sz w:val="21"/>
          <w:szCs w:val="24"/>
        </w:rPr>
        <w:t>设计、开发研究方案：能够针对生物工程复杂工程问题设计解决方案，设计满足特定需求的单元或工艺流程，并在设计环节中体现创新意识，充分考虑社会、健康、安全、法律、文化以及环境等因素；</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4. </w:t>
      </w:r>
      <w:r>
        <w:rPr>
          <w:rFonts w:hint="eastAsia" w:ascii="Times New Roman" w:hAnsi="Times New Roman"/>
          <w:sz w:val="21"/>
          <w:szCs w:val="24"/>
        </w:rPr>
        <w:t>研究：能够基于自然科学和生物工程的科学原理，并采用科学方法，对生物工程领域复杂的工程问题进行研究，包括设计实验方案、分析与解释实验数据</w:t>
      </w:r>
      <w:r>
        <w:rPr>
          <w:rFonts w:hint="eastAsia" w:ascii="Times New Roman" w:hAnsi="Times New Roman"/>
          <w:sz w:val="21"/>
          <w:szCs w:val="24"/>
          <w:shd w:val="clear" w:color="auto" w:fill="FFFFFF"/>
        </w:rPr>
        <w:t>及新技术引进</w:t>
      </w:r>
      <w:r>
        <w:rPr>
          <w:rFonts w:hint="eastAsia" w:ascii="Times New Roman" w:hAnsi="Times New Roman"/>
          <w:sz w:val="21"/>
          <w:szCs w:val="24"/>
        </w:rPr>
        <w:t>，并通过信息综合，得到合理有效的结论；</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5. </w:t>
      </w:r>
      <w:r>
        <w:rPr>
          <w:rFonts w:hint="eastAsia" w:ascii="Times New Roman" w:hAnsi="Times New Roman"/>
          <w:sz w:val="21"/>
          <w:szCs w:val="24"/>
        </w:rPr>
        <w:t>使用现代工具：能够针对生物加工过程中的复杂工程问题，具备选择与使用恰当的技术、资源、现代工程工具和信息技术工具，用于预测、模拟和解决复杂生物工程问题的能力；</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6. </w:t>
      </w:r>
      <w:r>
        <w:rPr>
          <w:rFonts w:hint="eastAsia" w:ascii="Times New Roman" w:hAnsi="Times New Roman"/>
          <w:sz w:val="21"/>
          <w:szCs w:val="24"/>
        </w:rPr>
        <w:t>工程与社会：熟悉生物工程及其产业的相关政策和法规，结合生物工程技术研究的最新动态和行业发展，能够评价生物工程的解决方案及其对社会、健康、安全、法律以及文化的影响，并理解应承担的责任；</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7. </w:t>
      </w:r>
      <w:r>
        <w:rPr>
          <w:rFonts w:hint="eastAsia" w:ascii="Times New Roman" w:hAnsi="Times New Roman"/>
          <w:sz w:val="21"/>
          <w:szCs w:val="24"/>
        </w:rPr>
        <w:t>环境与可持续发展：具有环境保护和可持续发展理念，能够理解和评价生物加工过程中通过生物工程实践解决复杂工程问题对环境、社会可持续发展的影响；</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8. </w:t>
      </w:r>
      <w:r>
        <w:rPr>
          <w:rFonts w:hint="eastAsia" w:ascii="Times New Roman" w:hAnsi="Times New Roman"/>
          <w:sz w:val="21"/>
          <w:szCs w:val="24"/>
        </w:rPr>
        <w:t>职业规范：具有人文社会科学素养、社会责任感，能够在生物工程实践中理解并遵守工程职业道德和规范，履行责任；</w:t>
      </w:r>
    </w:p>
    <w:p>
      <w:pPr>
        <w:pStyle w:val="12"/>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9. </w:t>
      </w:r>
      <w:r>
        <w:rPr>
          <w:rFonts w:hint="eastAsia" w:ascii="Times New Roman" w:hAnsi="Times New Roman"/>
          <w:sz w:val="21"/>
          <w:szCs w:val="24"/>
        </w:rPr>
        <w:t>个人和团队：能够在多学科背景下的团队中承担个人角色，具有一定的组织管理能力、较强的表达能力、人际交往能力以及团队协作能力；</w:t>
      </w:r>
    </w:p>
    <w:p>
      <w:pPr>
        <w:pStyle w:val="12"/>
        <w:keepNext w:val="0"/>
        <w:keepLines w:val="0"/>
        <w:pageBreakBefore w:val="0"/>
        <w:widowControl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10. </w:t>
      </w:r>
      <w:r>
        <w:rPr>
          <w:rFonts w:hint="eastAsia" w:ascii="Times New Roman" w:hAnsi="Times New Roman"/>
          <w:sz w:val="21"/>
          <w:szCs w:val="24"/>
        </w:rPr>
        <w:t>沟通：能够就生物工程复杂工程问题和业界同行及社会大众进行有效沟通和交流，包括撰写报告和设计文稿、陈述发言、清晰表达或回应指令等，具备一定的国际视野，能够在跨文化背景下进行沟通和交流；</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11. </w:t>
      </w:r>
      <w:r>
        <w:rPr>
          <w:rFonts w:hint="eastAsia" w:ascii="Times New Roman" w:hAnsi="Times New Roman"/>
          <w:sz w:val="21"/>
          <w:szCs w:val="24"/>
        </w:rPr>
        <w:t>项目管理：理解并掌握生物工程管理原理与经济决策方法，并能在多学科环境中应用；</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12. </w:t>
      </w:r>
      <w:r>
        <w:rPr>
          <w:rFonts w:hint="eastAsia" w:ascii="Times New Roman" w:hAnsi="Times New Roman"/>
          <w:sz w:val="21"/>
          <w:szCs w:val="24"/>
        </w:rPr>
        <w:t>终身学习：具有适应社会需求、继续深造的潜能，以及对终身学习的正确认识。</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eastAsia="方正黑体简体"/>
          <w:sz w:val="21"/>
          <w:szCs w:val="24"/>
        </w:rPr>
      </w:pPr>
      <w:r>
        <w:rPr>
          <w:rFonts w:hint="eastAsia" w:ascii="Times New Roman" w:hAnsi="Times New Roman" w:eastAsia="方正黑体简体"/>
          <w:sz w:val="21"/>
          <w:szCs w:val="24"/>
        </w:rPr>
        <w:t>三、学制、学位和毕业学分</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 </w:t>
      </w:r>
      <w:r>
        <w:rPr>
          <w:rFonts w:hint="eastAsia" w:ascii="Times New Roman" w:hAnsi="Times New Roman"/>
          <w:sz w:val="21"/>
          <w:szCs w:val="24"/>
        </w:rPr>
        <w:t>学制四年，学生可在3～</w:t>
      </w:r>
      <w:r>
        <w:rPr>
          <w:rFonts w:hint="default" w:ascii="Times New Roman" w:hAnsi="Times New Roman"/>
          <w:sz w:val="21"/>
          <w:szCs w:val="24"/>
        </w:rPr>
        <w:t>7</w:t>
      </w:r>
      <w:r>
        <w:rPr>
          <w:rFonts w:hint="eastAsia" w:ascii="Times New Roman" w:hAnsi="Times New Roman"/>
          <w:sz w:val="21"/>
          <w:szCs w:val="24"/>
        </w:rPr>
        <w:t>年完成学业。</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2. </w:t>
      </w:r>
      <w:r>
        <w:rPr>
          <w:rFonts w:hint="eastAsia" w:ascii="Times New Roman" w:hAnsi="Times New Roman"/>
          <w:sz w:val="21"/>
          <w:szCs w:val="24"/>
        </w:rPr>
        <w:t>授予学位：工学学士。</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3. </w:t>
      </w:r>
      <w:r>
        <w:rPr>
          <w:rFonts w:hint="eastAsia" w:ascii="Times New Roman" w:hAnsi="Times New Roman"/>
          <w:sz w:val="21"/>
          <w:szCs w:val="24"/>
        </w:rPr>
        <w:t>毕业学分：本专业毕业生最少修读175学分，其中必修课143学分。</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eastAsia="方正黑体简体"/>
          <w:sz w:val="21"/>
          <w:szCs w:val="24"/>
        </w:rPr>
      </w:pPr>
      <w:r>
        <w:rPr>
          <w:rFonts w:hint="eastAsia" w:ascii="Times New Roman" w:hAnsi="Times New Roman" w:eastAsia="方正黑体简体"/>
          <w:sz w:val="21"/>
          <w:szCs w:val="24"/>
        </w:rPr>
        <w:t>四、主干学科和主要课程</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1. </w:t>
      </w:r>
      <w:r>
        <w:rPr>
          <w:rFonts w:hint="eastAsia" w:ascii="Times New Roman" w:hAnsi="Times New Roman"/>
          <w:sz w:val="21"/>
          <w:szCs w:val="24"/>
        </w:rPr>
        <w:t>主干学科：生物学、生物工程</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sz w:val="21"/>
          <w:szCs w:val="24"/>
        </w:rPr>
      </w:pPr>
      <w:r>
        <w:rPr>
          <w:rFonts w:hint="default" w:ascii="Times New Roman" w:hAnsi="Times New Roman"/>
          <w:sz w:val="21"/>
          <w:szCs w:val="24"/>
        </w:rPr>
        <w:t xml:space="preserve">2. </w:t>
      </w:r>
      <w:r>
        <w:rPr>
          <w:rFonts w:hint="eastAsia" w:ascii="Times New Roman" w:hAnsi="Times New Roman"/>
          <w:sz w:val="21"/>
          <w:szCs w:val="24"/>
        </w:rPr>
        <w:t>主要课程：生物化学、微生物学、化工原理、生化工程、生物工程设备与工厂设计、分子生物学、发酵工程、生物分离工程、酶与蛋白质工程、生物工业分析</w:t>
      </w:r>
    </w:p>
    <w:p>
      <w:pPr>
        <w:pStyle w:val="12"/>
        <w:keepNext w:val="0"/>
        <w:keepLines w:val="0"/>
        <w:pageBreakBefore w:val="0"/>
        <w:kinsoku/>
        <w:wordWrap/>
        <w:overflowPunct/>
        <w:topLinePunct w:val="0"/>
        <w:autoSpaceDE/>
        <w:autoSpaceDN/>
        <w:bidi w:val="0"/>
        <w:adjustRightInd/>
        <w:snapToGrid/>
        <w:spacing w:beforeLines="0" w:afterLines="0" w:line="288" w:lineRule="auto"/>
        <w:ind w:left="0" w:leftChars="0" w:right="0" w:rightChars="0" w:firstLine="420" w:firstLineChars="200"/>
        <w:jc w:val="both"/>
        <w:textAlignment w:val="auto"/>
        <w:outlineLvl w:val="9"/>
        <w:rPr>
          <w:rFonts w:hint="default" w:ascii="Times New Roman" w:hAnsi="Times New Roman" w:eastAsia="方正黑体简体"/>
          <w:sz w:val="21"/>
          <w:szCs w:val="24"/>
        </w:rPr>
      </w:pPr>
      <w:r>
        <w:rPr>
          <w:rFonts w:hint="eastAsia" w:ascii="Times New Roman" w:hAnsi="Times New Roman" w:eastAsia="方正黑体简体"/>
          <w:sz w:val="21"/>
          <w:szCs w:val="24"/>
        </w:rPr>
        <w:t>五、课程结构及学分比例</w:t>
      </w:r>
    </w:p>
    <w:tbl>
      <w:tblPr>
        <w:tblStyle w:val="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7"/>
        <w:gridCol w:w="774"/>
        <w:gridCol w:w="921"/>
        <w:gridCol w:w="763"/>
        <w:gridCol w:w="844"/>
        <w:gridCol w:w="889"/>
        <w:gridCol w:w="849"/>
        <w:gridCol w:w="909"/>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课程结构</w:t>
            </w:r>
          </w:p>
        </w:tc>
        <w:tc>
          <w:tcPr>
            <w:tcW w:w="16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必修课</w:t>
            </w:r>
          </w:p>
        </w:tc>
        <w:tc>
          <w:tcPr>
            <w:tcW w:w="16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选修课</w:t>
            </w:r>
          </w:p>
        </w:tc>
        <w:tc>
          <w:tcPr>
            <w:tcW w:w="17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合计</w:t>
            </w:r>
          </w:p>
        </w:tc>
        <w:tc>
          <w:tcPr>
            <w:tcW w:w="9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占总学分</w:t>
            </w:r>
          </w:p>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比例</w:t>
            </w:r>
          </w:p>
        </w:tc>
        <w:tc>
          <w:tcPr>
            <w:tcW w:w="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实践教学学分</w:t>
            </w:r>
          </w:p>
        </w:tc>
        <w:tc>
          <w:tcPr>
            <w:tcW w:w="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实践学分占总学分比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14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学分</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学时</w:t>
            </w:r>
          </w:p>
        </w:tc>
        <w:tc>
          <w:tcPr>
            <w:tcW w:w="9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c>
          <w:tcPr>
            <w:tcW w:w="9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c>
          <w:tcPr>
            <w:tcW w:w="9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default" w:ascii="Times New Roman" w:hAnsi="Times New Roman"/>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通识教育课程</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lang w:bidi="ar"/>
              </w:rPr>
              <w:t>4</w:t>
            </w:r>
            <w:r>
              <w:rPr>
                <w:rFonts w:hint="eastAsia" w:ascii="方正书宋简体" w:hAnsi="方正书宋简体" w:eastAsia="方正书宋简体" w:cs="方正书宋简体"/>
                <w:kern w:val="0"/>
                <w:sz w:val="18"/>
                <w:szCs w:val="24"/>
                <w:lang w:val="en-US" w:eastAsia="zh-CN" w:bidi="ar"/>
              </w:rPr>
              <w:t>2</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lang w:bidi="ar"/>
              </w:rPr>
              <w:t>8</w:t>
            </w:r>
            <w:r>
              <w:rPr>
                <w:rFonts w:hint="eastAsia" w:ascii="方正书宋简体" w:hAnsi="方正书宋简体" w:eastAsia="方正书宋简体" w:cs="方正书宋简体"/>
                <w:kern w:val="0"/>
                <w:sz w:val="18"/>
                <w:szCs w:val="24"/>
                <w:lang w:val="en-US" w:eastAsia="zh-CN" w:bidi="ar"/>
              </w:rPr>
              <w:t>22</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lang w:bidi="ar"/>
              </w:rPr>
              <w:t>8</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128</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val="en-US" w:eastAsia="zh-CN" w:bidi="ar"/>
              </w:rPr>
            </w:pPr>
            <w:r>
              <w:rPr>
                <w:rFonts w:hint="eastAsia" w:ascii="方正书宋简体" w:hAnsi="方正书宋简体" w:eastAsia="方正书宋简体" w:cs="方正书宋简体"/>
                <w:kern w:val="0"/>
                <w:sz w:val="18"/>
                <w:szCs w:val="24"/>
                <w:lang w:val="en-US" w:eastAsia="zh-CN" w:bidi="ar"/>
              </w:rPr>
              <w:t>50</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val="en-US" w:eastAsia="zh-CN" w:bidi="ar"/>
              </w:rPr>
            </w:pPr>
            <w:r>
              <w:rPr>
                <w:rFonts w:hint="eastAsia" w:ascii="方正书宋简体" w:hAnsi="方正书宋简体" w:eastAsia="方正书宋简体" w:cs="方正书宋简体"/>
                <w:kern w:val="0"/>
                <w:sz w:val="18"/>
                <w:szCs w:val="24"/>
                <w:lang w:bidi="ar"/>
              </w:rPr>
              <w:t>9</w:t>
            </w:r>
            <w:r>
              <w:rPr>
                <w:rFonts w:hint="eastAsia" w:ascii="方正书宋简体" w:hAnsi="方正书宋简体" w:eastAsia="方正书宋简体" w:cs="方正书宋简体"/>
                <w:kern w:val="0"/>
                <w:sz w:val="18"/>
                <w:szCs w:val="24"/>
                <w:lang w:val="en-US" w:eastAsia="zh-CN" w:bidi="ar"/>
              </w:rPr>
              <w:t>50</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28.</w:t>
            </w:r>
            <w:r>
              <w:rPr>
                <w:rFonts w:hint="eastAsia" w:ascii="方正书宋简体" w:hAnsi="方正书宋简体" w:eastAsia="方正书宋简体" w:cs="方正书宋简体"/>
                <w:kern w:val="0"/>
                <w:sz w:val="18"/>
                <w:szCs w:val="24"/>
                <w:lang w:val="en-US" w:eastAsia="zh-CN" w:bidi="ar"/>
              </w:rPr>
              <w:t>5</w:t>
            </w:r>
            <w:r>
              <w:rPr>
                <w:rFonts w:hint="eastAsia" w:ascii="方正书宋简体" w:hAnsi="方正书宋简体" w:eastAsia="方正书宋简体" w:cs="方正书宋简体"/>
                <w:kern w:val="0"/>
                <w:sz w:val="18"/>
                <w:szCs w:val="24"/>
                <w:lang w:bidi="ar"/>
              </w:rPr>
              <w:t>%</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eastAsia="zh-CN" w:bidi="ar"/>
              </w:rPr>
            </w:pPr>
            <w:r>
              <w:rPr>
                <w:rFonts w:hint="eastAsia" w:ascii="方正书宋简体" w:hAnsi="方正书宋简体" w:eastAsia="方正书宋简体" w:cs="方正书宋简体"/>
                <w:kern w:val="0"/>
                <w:sz w:val="18"/>
                <w:szCs w:val="24"/>
                <w:lang w:bidi="ar"/>
              </w:rPr>
              <w:t>5.</w:t>
            </w:r>
            <w:r>
              <w:rPr>
                <w:rFonts w:hint="eastAsia" w:ascii="方正书宋简体" w:hAnsi="方正书宋简体" w:eastAsia="方正书宋简体" w:cs="方正书宋简体"/>
                <w:kern w:val="0"/>
                <w:sz w:val="18"/>
                <w:szCs w:val="24"/>
                <w:lang w:val="en-US" w:eastAsia="zh-CN" w:bidi="ar"/>
              </w:rPr>
              <w:t>7</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3.</w:t>
            </w:r>
            <w:r>
              <w:rPr>
                <w:rFonts w:hint="eastAsia" w:ascii="方正书宋简体" w:hAnsi="方正书宋简体" w:eastAsia="方正书宋简体" w:cs="方正书宋简体"/>
                <w:kern w:val="0"/>
                <w:sz w:val="18"/>
                <w:szCs w:val="24"/>
                <w:lang w:val="en-US" w:eastAsia="zh-CN" w:bidi="ar"/>
              </w:rPr>
              <w:t>3</w:t>
            </w:r>
            <w:r>
              <w:rPr>
                <w:rFonts w:hint="eastAsia" w:ascii="方正书宋简体" w:hAnsi="方正书宋简体" w:eastAsia="方正书宋简体" w:cs="方正书宋简体"/>
                <w:kern w:val="0"/>
                <w:sz w:val="18"/>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学科基础课程</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lang w:bidi="ar"/>
              </w:rPr>
              <w:t>52</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lang w:bidi="ar"/>
              </w:rPr>
              <w:t>848</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sz w:val="18"/>
                <w:szCs w:val="24"/>
                <w:lang w:val="en-US" w:eastAsia="zh-CN"/>
              </w:rPr>
              <w:t>0</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eastAsia="zh-CN" w:bidi="ar"/>
              </w:rPr>
            </w:pPr>
            <w:r>
              <w:rPr>
                <w:rFonts w:hint="eastAsia" w:ascii="方正书宋简体" w:hAnsi="方正书宋简体" w:eastAsia="方正书宋简体" w:cs="方正书宋简体"/>
                <w:sz w:val="18"/>
                <w:szCs w:val="24"/>
                <w:lang w:val="en-US" w:eastAsia="zh-CN"/>
              </w:rPr>
              <w:t>0</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52</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848</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29.7%</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9.8</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专业教育课程</w:t>
            </w:r>
          </w:p>
        </w:tc>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22</w:t>
            </w:r>
          </w:p>
        </w:tc>
        <w:tc>
          <w:tcPr>
            <w:tcW w:w="92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352</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22.5</w:t>
            </w:r>
          </w:p>
        </w:tc>
        <w:tc>
          <w:tcPr>
            <w:tcW w:w="84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360</w:t>
            </w:r>
          </w:p>
        </w:tc>
        <w:tc>
          <w:tcPr>
            <w:tcW w:w="88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44.5</w:t>
            </w:r>
          </w:p>
        </w:tc>
        <w:tc>
          <w:tcPr>
            <w:tcW w:w="84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712</w:t>
            </w:r>
          </w:p>
        </w:tc>
        <w:tc>
          <w:tcPr>
            <w:tcW w:w="90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25.4%</w:t>
            </w: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14.0</w:t>
            </w:r>
          </w:p>
        </w:tc>
        <w:tc>
          <w:tcPr>
            <w:tcW w:w="91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实践教学课程</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lang w:bidi="ar"/>
              </w:rPr>
              <w:t>2</w:t>
            </w:r>
            <w:r>
              <w:rPr>
                <w:rFonts w:hint="eastAsia" w:ascii="方正书宋简体" w:hAnsi="方正书宋简体" w:eastAsia="方正书宋简体" w:cs="方正书宋简体"/>
                <w:kern w:val="0"/>
                <w:sz w:val="18"/>
                <w:szCs w:val="24"/>
                <w:lang w:val="en-US" w:eastAsia="zh-CN" w:bidi="ar"/>
              </w:rPr>
              <w:t>7</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lang w:bidi="ar"/>
              </w:rPr>
              <w:t>—</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1.5</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w:t>
            </w:r>
            <w:r>
              <w:rPr>
                <w:rFonts w:hint="eastAsia" w:ascii="方正书宋简体" w:hAnsi="方正书宋简体" w:eastAsia="方正书宋简体" w:cs="方正书宋简体"/>
                <w:kern w:val="0"/>
                <w:sz w:val="18"/>
                <w:szCs w:val="24"/>
                <w:lang w:val="en-US" w:eastAsia="zh-CN" w:bidi="ar"/>
              </w:rPr>
              <w:t>8</w:t>
            </w:r>
            <w:r>
              <w:rPr>
                <w:rFonts w:hint="eastAsia" w:ascii="方正书宋简体" w:hAnsi="方正书宋简体" w:eastAsia="方正书宋简体" w:cs="方正书宋简体"/>
                <w:kern w:val="0"/>
                <w:sz w:val="18"/>
                <w:szCs w:val="24"/>
                <w:lang w:bidi="ar"/>
              </w:rPr>
              <w:t>.5</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16.</w:t>
            </w:r>
            <w:r>
              <w:rPr>
                <w:rFonts w:hint="eastAsia" w:ascii="方正书宋简体" w:hAnsi="方正书宋简体" w:eastAsia="方正书宋简体" w:cs="方正书宋简体"/>
                <w:kern w:val="0"/>
                <w:sz w:val="18"/>
                <w:szCs w:val="24"/>
                <w:lang w:val="en-US" w:eastAsia="zh-CN" w:bidi="ar"/>
              </w:rPr>
              <w:t>3</w:t>
            </w:r>
            <w:r>
              <w:rPr>
                <w:rFonts w:hint="eastAsia" w:ascii="方正书宋简体" w:hAnsi="方正书宋简体" w:eastAsia="方正书宋简体" w:cs="方正书宋简体"/>
                <w:kern w:val="0"/>
                <w:sz w:val="18"/>
                <w:szCs w:val="24"/>
                <w:lang w:bidi="ar"/>
              </w:rPr>
              <w:t>%</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2</w:t>
            </w:r>
            <w:r>
              <w:rPr>
                <w:rFonts w:hint="eastAsia" w:ascii="方正书宋简体" w:hAnsi="方正书宋简体" w:eastAsia="方正书宋简体" w:cs="方正书宋简体"/>
                <w:kern w:val="0"/>
                <w:sz w:val="18"/>
                <w:szCs w:val="24"/>
                <w:lang w:val="en-US" w:eastAsia="zh-CN" w:bidi="ar"/>
              </w:rPr>
              <w:t>8</w:t>
            </w:r>
            <w:r>
              <w:rPr>
                <w:rFonts w:hint="eastAsia" w:ascii="方正书宋简体" w:hAnsi="方正书宋简体" w:eastAsia="方正书宋简体" w:cs="方正书宋简体"/>
                <w:kern w:val="0"/>
                <w:sz w:val="18"/>
                <w:szCs w:val="24"/>
                <w:lang w:bidi="ar"/>
              </w:rPr>
              <w:t>.5</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16.</w:t>
            </w:r>
            <w:r>
              <w:rPr>
                <w:rFonts w:hint="eastAsia" w:ascii="方正书宋简体" w:hAnsi="方正书宋简体" w:eastAsia="方正书宋简体" w:cs="方正书宋简体"/>
                <w:kern w:val="0"/>
                <w:sz w:val="18"/>
                <w:szCs w:val="24"/>
                <w:lang w:val="en-US" w:eastAsia="zh-CN" w:bidi="ar"/>
              </w:rPr>
              <w:t>3</w:t>
            </w:r>
            <w:r>
              <w:rPr>
                <w:rFonts w:hint="eastAsia" w:ascii="方正书宋简体" w:hAnsi="方正书宋简体" w:eastAsia="方正书宋简体" w:cs="方正书宋简体"/>
                <w:kern w:val="0"/>
                <w:sz w:val="18"/>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line="28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合  计</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143</w:t>
            </w:r>
          </w:p>
        </w:tc>
        <w:tc>
          <w:tcPr>
            <w:tcW w:w="921"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lang w:val="en-US" w:eastAsia="zh-CN"/>
              </w:rPr>
            </w:pPr>
            <w:r>
              <w:rPr>
                <w:rFonts w:hint="eastAsia" w:ascii="方正书宋简体" w:hAnsi="方正书宋简体" w:eastAsia="方正书宋简体" w:cs="方正书宋简体"/>
                <w:kern w:val="0"/>
                <w:sz w:val="18"/>
                <w:szCs w:val="24"/>
              </w:rPr>
              <w:t>20</w:t>
            </w:r>
            <w:r>
              <w:rPr>
                <w:rFonts w:hint="eastAsia" w:ascii="方正书宋简体" w:hAnsi="方正书宋简体" w:eastAsia="方正书宋简体" w:cs="方正书宋简体"/>
                <w:kern w:val="0"/>
                <w:sz w:val="18"/>
                <w:szCs w:val="24"/>
                <w:lang w:val="en-US" w:eastAsia="zh-CN"/>
              </w:rPr>
              <w:t>22</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shd w:val="clear" w:color="auto" w:fill="FFFFFF"/>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488</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175</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val="en-US" w:eastAsia="zh-CN" w:bidi="ar"/>
              </w:rPr>
            </w:pPr>
            <w:r>
              <w:rPr>
                <w:rFonts w:hint="eastAsia" w:ascii="方正书宋简体" w:hAnsi="方正书宋简体" w:eastAsia="方正书宋简体" w:cs="方正书宋简体"/>
                <w:kern w:val="0"/>
                <w:sz w:val="18"/>
                <w:szCs w:val="24"/>
                <w:lang w:bidi="ar"/>
              </w:rPr>
              <w:t>2</w:t>
            </w:r>
            <w:r>
              <w:rPr>
                <w:rFonts w:hint="eastAsia" w:ascii="方正书宋简体" w:hAnsi="方正书宋简体" w:eastAsia="方正书宋简体" w:cs="方正书宋简体"/>
                <w:kern w:val="0"/>
                <w:sz w:val="18"/>
                <w:szCs w:val="24"/>
                <w:lang w:val="en-US" w:eastAsia="zh-CN" w:bidi="ar"/>
              </w:rPr>
              <w:t>510</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100%</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lang w:val="en-US" w:eastAsia="zh-CN" w:bidi="ar"/>
              </w:rPr>
            </w:pPr>
            <w:r>
              <w:rPr>
                <w:rFonts w:hint="eastAsia" w:ascii="方正书宋简体" w:hAnsi="方正书宋简体" w:eastAsia="方正书宋简体" w:cs="方正书宋简体"/>
                <w:kern w:val="0"/>
                <w:sz w:val="18"/>
                <w:szCs w:val="24"/>
                <w:lang w:bidi="ar"/>
              </w:rPr>
              <w:t>58</w:t>
            </w:r>
            <w:r>
              <w:rPr>
                <w:rFonts w:hint="eastAsia" w:ascii="方正书宋简体" w:hAnsi="方正书宋简体" w:eastAsia="方正书宋简体" w:cs="方正书宋简体"/>
                <w:kern w:val="0"/>
                <w:sz w:val="18"/>
                <w:szCs w:val="24"/>
                <w:lang w:val="en-US" w:eastAsia="zh-CN" w:bidi="ar"/>
              </w:rPr>
              <w:t>.0</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lang w:bidi="ar"/>
              </w:rPr>
            </w:pPr>
            <w:r>
              <w:rPr>
                <w:rFonts w:hint="eastAsia" w:ascii="方正书宋简体" w:hAnsi="方正书宋简体" w:eastAsia="方正书宋简体" w:cs="方正书宋简体"/>
                <w:kern w:val="0"/>
                <w:sz w:val="18"/>
                <w:szCs w:val="24"/>
                <w:lang w:bidi="ar"/>
              </w:rPr>
              <w:t>33.</w:t>
            </w:r>
            <w:r>
              <w:rPr>
                <w:rFonts w:hint="eastAsia" w:ascii="方正书宋简体" w:hAnsi="方正书宋简体" w:eastAsia="方正书宋简体" w:cs="方正书宋简体"/>
                <w:kern w:val="0"/>
                <w:sz w:val="18"/>
                <w:szCs w:val="24"/>
                <w:lang w:val="en-US" w:eastAsia="zh-CN" w:bidi="ar"/>
              </w:rPr>
              <w:t>1</w:t>
            </w:r>
            <w:r>
              <w:rPr>
                <w:rFonts w:hint="eastAsia" w:ascii="方正书宋简体" w:hAnsi="方正书宋简体" w:eastAsia="方正书宋简体" w:cs="方正书宋简体"/>
                <w:kern w:val="0"/>
                <w:sz w:val="18"/>
                <w:szCs w:val="24"/>
                <w:lang w:bidi="ar"/>
              </w:rPr>
              <w:t>%</w:t>
            </w:r>
          </w:p>
        </w:tc>
      </w:tr>
    </w:tbl>
    <w:p>
      <w:pPr>
        <w:widowControl/>
        <w:shd w:val="clear" w:color="auto" w:fill="FFFFFF"/>
        <w:spacing w:beforeLines="0" w:afterLines="0"/>
        <w:jc w:val="left"/>
        <w:rPr>
          <w:rFonts w:hint="default" w:ascii="Times New Roman" w:hAnsi="Times New Roman"/>
          <w:b/>
          <w:sz w:val="24"/>
          <w:szCs w:val="24"/>
        </w:rPr>
        <w:sectPr>
          <w:headerReference r:id="rId4" w:type="default"/>
          <w:footerReference r:id="rId5" w:type="default"/>
          <w:pgSz w:w="11906" w:h="16157"/>
          <w:pgMar w:top="1361" w:right="1361" w:bottom="1361" w:left="1361" w:header="851" w:footer="992" w:gutter="0"/>
          <w:lnNumType w:countBy="0" w:distance="360"/>
          <w:pgNumType w:fmt="decimal"/>
          <w:cols w:space="720" w:num="1"/>
          <w:rtlGutter w:val="0"/>
          <w:docGrid w:type="lines" w:linePitch="312" w:charSpace="0"/>
        </w:sectPr>
      </w:pPr>
    </w:p>
    <w:p>
      <w:pPr>
        <w:spacing w:beforeLines="0" w:afterLines="0" w:line="320" w:lineRule="atLeast"/>
        <w:ind w:firstLine="435"/>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六、毕业要求与课程体系的关联矩阵</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97"/>
        <w:gridCol w:w="920"/>
        <w:gridCol w:w="1134"/>
        <w:gridCol w:w="576"/>
        <w:gridCol w:w="949"/>
        <w:gridCol w:w="1103"/>
        <w:gridCol w:w="1008"/>
        <w:gridCol w:w="943"/>
        <w:gridCol w:w="1072"/>
        <w:gridCol w:w="616"/>
        <w:gridCol w:w="91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blHeader/>
          <w:jc w:val="center"/>
        </w:trPr>
        <w:tc>
          <w:tcPr>
            <w:tcW w:w="24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教学环节</w:t>
            </w:r>
          </w:p>
        </w:tc>
        <w:tc>
          <w:tcPr>
            <w:tcW w:w="1098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毕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2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黑体_GBK" w:hAnsi="方正黑体_GBK" w:eastAsia="方正黑体_GBK" w:cs="方正黑体_GBK"/>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工程</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知识</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问题</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分析</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设计/开发解决方案</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研究</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使用现代工具</w:t>
            </w: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工程与</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社会</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环境和可持续发展</w:t>
            </w: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职业规范</w:t>
            </w: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个人和</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团队</w:t>
            </w: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沟通</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项目</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管理</w:t>
            </w: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center" w:pos="4153"/>
                <w:tab w:val="right" w:pos="8306"/>
              </w:tabs>
              <w:snapToGrid w:val="0"/>
              <w:spacing w:beforeLines="0" w:afterLines="0" w:line="280" w:lineRule="exact"/>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思想道德修养与法律基础</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center" w:pos="4153"/>
                <w:tab w:val="right" w:pos="8306"/>
              </w:tabs>
              <w:snapToGrid w:val="0"/>
              <w:spacing w:beforeLines="0" w:afterLines="0" w:line="280" w:lineRule="exact"/>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中国近现代史纲要</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center" w:pos="4153"/>
                <w:tab w:val="right" w:pos="8306"/>
              </w:tabs>
              <w:snapToGrid w:val="0"/>
              <w:spacing w:beforeLines="0" w:afterLines="0" w:line="280" w:lineRule="exact"/>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马克思主义基本原理</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center" w:pos="4153"/>
                <w:tab w:val="right" w:pos="8306"/>
              </w:tabs>
              <w:snapToGrid w:val="0"/>
              <w:spacing w:beforeLines="0" w:afterLines="0" w:line="280" w:lineRule="exact"/>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毛泽东思想和中国特色社会主义理论体系概论</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center" w:pos="4153"/>
                <w:tab w:val="right" w:pos="8306"/>
              </w:tabs>
              <w:snapToGrid w:val="0"/>
              <w:spacing w:beforeLines="0" w:afterLines="0" w:line="260" w:lineRule="exact"/>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形势与政策</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军事理论</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国家安全教育</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大学劳动教育</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大学英语</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计算机应用基础</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大学体育</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大学生心理健康教育</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创新创业基础</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sz w:val="18"/>
                <w:szCs w:val="24"/>
              </w:rPr>
              <w:t>职业规划与就业指导</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line="240" w:lineRule="atLeast"/>
              <w:jc w:val="center"/>
              <w:rPr>
                <w:rFonts w:hint="eastAsia" w:ascii="方正书宋简体" w:hAnsi="方正书宋简体" w:eastAsia="方正书宋简体" w:cs="方正书宋简体"/>
                <w:b/>
                <w:color w:val="000000"/>
                <w:kern w:val="0"/>
                <w:sz w:val="18"/>
                <w:szCs w:val="24"/>
              </w:rPr>
            </w:pPr>
            <w:r>
              <w:rPr>
                <w:rFonts w:hint="eastAsia" w:ascii="方正书宋简体" w:hAnsi="方正书宋简体" w:eastAsia="方正书宋简体" w:cs="方正书宋简体"/>
                <w:color w:val="000000"/>
                <w:sz w:val="18"/>
                <w:szCs w:val="24"/>
              </w:rPr>
              <w:t>高等数学AⅠ</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无机及分析化学A</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高等数学AⅡ</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有机化学A</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工程制图</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物理化学B</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生物工程专业导论</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大学物理C</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线性代数A</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生物化学</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化工原理CI</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化工原理CII</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概率论与统计应用A</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微生物学A</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微生物学实验技术A</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8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试验设计与统计分析B</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分子生物学C（双语）</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生物工程设备与工厂设计</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发酵工程</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酶与蛋白质工程</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生化工程</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生物分离工程</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color w:val="000000"/>
                <w:kern w:val="0"/>
                <w:sz w:val="18"/>
                <w:szCs w:val="24"/>
              </w:rPr>
            </w:pPr>
            <w:r>
              <w:rPr>
                <w:rFonts w:hint="eastAsia" w:ascii="方正书宋简体" w:hAnsi="方正书宋简体" w:eastAsia="方正书宋简体" w:cs="方正书宋简体"/>
                <w:color w:val="000000"/>
                <w:kern w:val="0"/>
                <w:sz w:val="18"/>
                <w:szCs w:val="24"/>
              </w:rPr>
              <w:t>生物工业分析</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生物技术制药</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免疫学</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食药用菌生物技术</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发酵工艺学</w:t>
            </w:r>
            <w:r>
              <w:rPr>
                <w:rFonts w:hint="eastAsia" w:ascii="方正书宋简体" w:hAnsi="方正书宋简体" w:eastAsia="方正书宋简体" w:cs="方正书宋简体"/>
                <w:color w:val="000000"/>
                <w:kern w:val="0"/>
                <w:sz w:val="18"/>
                <w:szCs w:val="24"/>
              </w:rPr>
              <w:t>Ⅰ</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color w:val="000000"/>
                <w:kern w:val="0"/>
                <w:sz w:val="18"/>
                <w:szCs w:val="24"/>
              </w:rPr>
            </w:pPr>
            <w:r>
              <w:rPr>
                <w:rFonts w:hint="eastAsia" w:ascii="方正书宋简体" w:hAnsi="方正书宋简体" w:eastAsia="方正书宋简体" w:cs="方正书宋简体"/>
                <w:color w:val="000000"/>
                <w:sz w:val="18"/>
                <w:szCs w:val="24"/>
              </w:rPr>
              <w:t>发酵工艺学</w:t>
            </w:r>
            <w:r>
              <w:rPr>
                <w:rFonts w:hint="eastAsia" w:ascii="方正书宋简体" w:hAnsi="方正书宋简体" w:eastAsia="方正书宋简体" w:cs="方正书宋简体"/>
                <w:color w:val="000000"/>
                <w:kern w:val="0"/>
                <w:sz w:val="18"/>
                <w:szCs w:val="24"/>
              </w:rPr>
              <w:t>Ⅱ</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color w:val="000000"/>
                <w:kern w:val="0"/>
                <w:sz w:val="18"/>
                <w:szCs w:val="24"/>
              </w:rPr>
            </w:pPr>
            <w:r>
              <w:rPr>
                <w:rFonts w:hint="eastAsia" w:ascii="方正书宋简体" w:hAnsi="方正书宋简体" w:eastAsia="方正书宋简体" w:cs="方正书宋简体"/>
                <w:color w:val="000000"/>
                <w:kern w:val="0"/>
                <w:sz w:val="18"/>
                <w:szCs w:val="24"/>
              </w:rPr>
              <w:t>代谢工程</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药用植物学B</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中药学概论1</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中药学概论2</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环境生物技术</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tabs>
                <w:tab w:val="center" w:pos="1048"/>
              </w:tabs>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项目管理</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创新工程实践（MOOC）</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color w:val="000000"/>
                <w:kern w:val="0"/>
                <w:sz w:val="18"/>
                <w:szCs w:val="24"/>
              </w:rPr>
            </w:pPr>
            <w:r>
              <w:rPr>
                <w:rFonts w:hint="eastAsia" w:ascii="方正书宋简体" w:hAnsi="方正书宋简体" w:eastAsia="方正书宋简体" w:cs="方正书宋简体"/>
                <w:color w:val="000000"/>
                <w:sz w:val="18"/>
                <w:szCs w:val="24"/>
              </w:rPr>
              <w:t>生物安全（MOOC）</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sz w:val="18"/>
                <w:szCs w:val="24"/>
              </w:rPr>
            </w:pPr>
            <w:r>
              <w:rPr>
                <w:rFonts w:hint="eastAsia" w:ascii="方正书宋简体" w:hAnsi="方正书宋简体" w:eastAsia="方正书宋简体" w:cs="方正书宋简体"/>
                <w:color w:val="000000"/>
                <w:sz w:val="18"/>
                <w:szCs w:val="24"/>
              </w:rPr>
              <w:t>生物工程创新创业专题</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军事训练</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专业劳动实践</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金工实习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生物工程综合实训</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生物工程专业实验</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L</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发酵工程实习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生物分离工程课程实习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生物工程设备与工厂设计课程实习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食药用菌生物技术课程实习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发酵工艺学课程实习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药用植物学B课程实习</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毕业设计环节Ⅰ</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毕业设计环节Ⅱ</w:t>
            </w:r>
          </w:p>
        </w:tc>
        <w:tc>
          <w:tcPr>
            <w:tcW w:w="79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生产实习Ⅰ</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生产实习Ⅱ</w:t>
            </w:r>
          </w:p>
        </w:tc>
        <w:tc>
          <w:tcPr>
            <w:tcW w:w="797"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20"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49"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0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p>
        </w:tc>
        <w:tc>
          <w:tcPr>
            <w:tcW w:w="94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10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H</w:t>
            </w:r>
          </w:p>
        </w:tc>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240" w:lineRule="exact"/>
              <w:jc w:val="center"/>
              <w:rPr>
                <w:rFonts w:hint="eastAsia" w:ascii="方正书宋简体" w:hAnsi="方正书宋简体" w:eastAsia="方正书宋简体" w:cs="方正书宋简体"/>
                <w:color w:val="000000"/>
                <w:kern w:val="0"/>
                <w:sz w:val="18"/>
                <w:szCs w:val="24"/>
              </w:rPr>
            </w:pPr>
            <w:r>
              <w:rPr>
                <w:rFonts w:hint="eastAsia" w:ascii="方正书宋简体" w:hAnsi="方正书宋简体" w:eastAsia="方正书宋简体" w:cs="方正书宋简体"/>
                <w:color w:val="000000"/>
                <w:kern w:val="0"/>
                <w:sz w:val="18"/>
                <w:szCs w:val="24"/>
              </w:rPr>
              <w:t>M</w:t>
            </w: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c>
          <w:tcPr>
            <w:tcW w:w="955"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260" w:lineRule="exact"/>
              <w:jc w:val="center"/>
              <w:rPr>
                <w:rFonts w:hint="eastAsia" w:ascii="方正书宋简体" w:hAnsi="方正书宋简体" w:eastAsia="方正书宋简体" w:cs="方正书宋简体"/>
                <w:color w:val="000000"/>
                <w:kern w:val="0"/>
                <w:sz w:val="18"/>
                <w:szCs w:val="24"/>
              </w:rPr>
            </w:pPr>
          </w:p>
        </w:tc>
      </w:tr>
    </w:tbl>
    <w:p>
      <w:pPr>
        <w:spacing w:before="120" w:beforeLines="50" w:afterLines="0"/>
        <w:rPr>
          <w:rFonts w:hint="eastAsia" w:ascii="方正书宋简体" w:hAnsi="方正书宋简体" w:eastAsia="方正书宋简体" w:cs="方正书宋简体"/>
          <w:sz w:val="15"/>
          <w:szCs w:val="15"/>
        </w:rPr>
        <w:sectPr>
          <w:footerReference r:id="rId6" w:type="default"/>
          <w:pgSz w:w="16157" w:h="11906" w:orient="landscape"/>
          <w:pgMar w:top="1361" w:right="1361" w:bottom="1361" w:left="1361" w:header="851" w:footer="907" w:gutter="0"/>
          <w:lnNumType w:countBy="0" w:distance="360"/>
          <w:pgNumType w:fmt="decimal"/>
          <w:cols w:space="720" w:num="1"/>
          <w:rtlGutter w:val="0"/>
          <w:docGrid w:type="lines" w:linePitch="312" w:charSpace="0"/>
        </w:sectPr>
      </w:pPr>
      <w:r>
        <w:rPr>
          <w:rFonts w:hint="eastAsia" w:ascii="方正书宋简体" w:hAnsi="方正书宋简体" w:eastAsia="方正书宋简体" w:cs="方正书宋简体"/>
          <w:sz w:val="15"/>
          <w:szCs w:val="15"/>
        </w:rPr>
        <w:t xml:space="preserve">      注：H-高度相关；M-中等相关；L-弱相关。</w:t>
      </w:r>
    </w:p>
    <w:p>
      <w:pPr>
        <w:spacing w:beforeLines="0" w:afterLines="0" w:line="320" w:lineRule="atLeast"/>
        <w:ind w:firstLine="435"/>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 xml:space="preserve">七、课程设置及计划安排表 </w:t>
      </w:r>
    </w:p>
    <w:p>
      <w:pPr>
        <w:spacing w:beforeLines="0" w:afterLines="0" w:line="320" w:lineRule="atLeast"/>
        <w:ind w:firstLine="435"/>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（一）通识教育课程、学科基础课程和专业教育课程</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605"/>
        <w:gridCol w:w="276"/>
        <w:gridCol w:w="1012"/>
        <w:gridCol w:w="2098"/>
        <w:gridCol w:w="442"/>
        <w:gridCol w:w="483"/>
        <w:gridCol w:w="426"/>
        <w:gridCol w:w="484"/>
        <w:gridCol w:w="426"/>
        <w:gridCol w:w="566"/>
        <w:gridCol w:w="567"/>
        <w:gridCol w:w="461"/>
        <w:gridCol w:w="462"/>
        <w:gridCol w:w="427"/>
        <w:gridCol w:w="465"/>
        <w:gridCol w:w="467"/>
        <w:gridCol w:w="537"/>
        <w:gridCol w:w="506"/>
        <w:gridCol w:w="48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blHeader/>
          <w:jc w:val="center"/>
        </w:trPr>
        <w:tc>
          <w:tcPr>
            <w:tcW w:w="5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结构</w:t>
            </w: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1288" w:type="dxa"/>
            <w:gridSpan w:val="2"/>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课程编码</w:t>
            </w:r>
          </w:p>
        </w:tc>
        <w:tc>
          <w:tcPr>
            <w:tcW w:w="2098"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课程名称</w:t>
            </w:r>
          </w:p>
        </w:tc>
        <w:tc>
          <w:tcPr>
            <w:tcW w:w="4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tc>
        <w:tc>
          <w:tcPr>
            <w:tcW w:w="4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时</w:t>
            </w:r>
          </w:p>
        </w:tc>
        <w:tc>
          <w:tcPr>
            <w:tcW w:w="13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20" w:lineRule="exact"/>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教学形式</w:t>
            </w:r>
          </w:p>
        </w:tc>
        <w:tc>
          <w:tcPr>
            <w:tcW w:w="5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修读</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考核</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形式</w:t>
            </w:r>
          </w:p>
        </w:tc>
        <w:tc>
          <w:tcPr>
            <w:tcW w:w="3809" w:type="dxa"/>
            <w:gridSpan w:val="8"/>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开设学期及周学时</w:t>
            </w: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default" w:ascii="Times New Roman" w:hAnsi="Times New Roman" w:eastAsia="黑体"/>
                <w:kern w:val="0"/>
                <w:sz w:val="18"/>
                <w:szCs w:val="24"/>
              </w:rPr>
            </w:pPr>
            <w:r>
              <w:rPr>
                <w:rFonts w:hint="eastAsia" w:ascii="方正黑体_GBK" w:hAnsi="方正黑体_GBK" w:eastAsia="方正黑体_GBK" w:cs="方正黑体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blHeader/>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20"/>
                <w:szCs w:val="20"/>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20"/>
                <w:szCs w:val="20"/>
              </w:rPr>
            </w:pPr>
          </w:p>
        </w:tc>
        <w:tc>
          <w:tcPr>
            <w:tcW w:w="1288" w:type="dxa"/>
            <w:gridSpan w:val="2"/>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黑体_GBK" w:hAnsi="方正黑体_GBK" w:eastAsia="方正黑体_GBK" w:cs="方正黑体_GBK"/>
                <w:sz w:val="20"/>
                <w:szCs w:val="20"/>
              </w:rPr>
            </w:pPr>
          </w:p>
        </w:tc>
        <w:tc>
          <w:tcPr>
            <w:tcW w:w="209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黑体_GBK" w:hAnsi="方正黑体_GBK" w:eastAsia="方正黑体_GBK" w:cs="方正黑体_GBK"/>
                <w:sz w:val="20"/>
                <w:szCs w:val="20"/>
              </w:rPr>
            </w:pPr>
          </w:p>
        </w:tc>
        <w:tc>
          <w:tcPr>
            <w:tcW w:w="4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20"/>
                <w:szCs w:val="20"/>
              </w:rPr>
            </w:pPr>
          </w:p>
        </w:tc>
        <w:tc>
          <w:tcPr>
            <w:tcW w:w="4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黑体_GBK" w:hAnsi="方正黑体_GBK" w:eastAsia="方正黑体_GBK" w:cs="方正黑体_GBK"/>
                <w:sz w:val="20"/>
                <w:szCs w:val="20"/>
              </w:rPr>
            </w:pPr>
          </w:p>
        </w:tc>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讲</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授</w:t>
            </w:r>
          </w:p>
        </w:tc>
        <w:tc>
          <w:tcPr>
            <w:tcW w:w="4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实验/上机</w:t>
            </w:r>
          </w:p>
        </w:tc>
        <w:tc>
          <w:tcPr>
            <w:tcW w:w="4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实</w:t>
            </w:r>
          </w:p>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践</w:t>
            </w:r>
          </w:p>
        </w:tc>
        <w:tc>
          <w:tcPr>
            <w:tcW w:w="5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9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第一学年</w:t>
            </w:r>
          </w:p>
        </w:tc>
        <w:tc>
          <w:tcPr>
            <w:tcW w:w="8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第二学年</w:t>
            </w:r>
          </w:p>
        </w:tc>
        <w:tc>
          <w:tcPr>
            <w:tcW w:w="10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第三学年</w:t>
            </w:r>
          </w:p>
        </w:tc>
        <w:tc>
          <w:tcPr>
            <w:tcW w:w="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第四学年</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rPr>
                <w:rFonts w:hint="default" w:ascii="Times New Roman" w:hAnsi="Times New Roman"/>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blHeader/>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1288" w:type="dxa"/>
            <w:gridSpan w:val="2"/>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20"/>
                <w:szCs w:val="24"/>
              </w:rPr>
            </w:pPr>
          </w:p>
        </w:tc>
        <w:tc>
          <w:tcPr>
            <w:tcW w:w="2098"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default" w:ascii="Times New Roman" w:hAnsi="Times New Roman"/>
                <w:sz w:val="20"/>
                <w:szCs w:val="24"/>
              </w:rPr>
            </w:pPr>
          </w:p>
        </w:tc>
        <w:tc>
          <w:tcPr>
            <w:tcW w:w="4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4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4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5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1</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5</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7</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default" w:ascii="Times New Roman" w:hAnsi="Times New Roman" w:eastAsia="黑体"/>
                <w:kern w:val="0"/>
                <w:sz w:val="18"/>
                <w:szCs w:val="24"/>
              </w:rPr>
              <w:t>8</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rPr>
                <w:rFonts w:hint="default" w:ascii="Times New Roman" w:hAnsi="Times New Roman"/>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通</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识</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教</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育</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通</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识</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必</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修</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2118T0001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思想道德与法治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line="200" w:lineRule="exact"/>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实践教学不占用课内学时，形势与政策课程分散在第1～8学期内完成，总成绩为各学年考核综合成绩。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2118T0002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中国近现代史纲要</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2118T0003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马克思主义基本原理</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2118T0004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毛泽东思想和中国特色社会主义理论体系概论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2118T0005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形势与政策</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军事理论</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2100T0005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国家安全教育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sz w:val="18"/>
                <w:szCs w:val="24"/>
                <w:highlight w:val="none"/>
              </w:rPr>
              <w:t>2100T0006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sz w:val="18"/>
                <w:szCs w:val="18"/>
                <w:highlight w:val="none"/>
              </w:rPr>
              <w:t>大学劳动教育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sz w:val="18"/>
                <w:szCs w:val="24"/>
                <w:highlight w:val="none"/>
              </w:rPr>
            </w:pPr>
            <w:r>
              <w:rPr>
                <w:rFonts w:hint="eastAsia" w:ascii="方正书宋简体" w:hAnsi="方正书宋简体" w:eastAsia="方正书宋简体" w:cs="方正书宋简体"/>
                <w:color w:val="000000"/>
                <w:kern w:val="0"/>
                <w:sz w:val="18"/>
                <w:szCs w:val="18"/>
                <w:highlight w:val="none"/>
              </w:rPr>
              <w:t>下2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2111T0001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大学英语AⅠ</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2111T0002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大学英语AⅡ</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2111T0003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大学英语AⅢ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2111T0004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大学英语A</w:t>
            </w:r>
            <w:r>
              <w:rPr>
                <w:rFonts w:hint="eastAsia" w:ascii="方正书宋简体" w:hAnsi="方正书宋简体" w:eastAsia="方正书宋简体" w:cs="方正书宋简体"/>
                <w:sz w:val="18"/>
                <w:szCs w:val="24"/>
              </w:rPr>
              <w:fldChar w:fldCharType="begin"/>
            </w:r>
            <w:r>
              <w:rPr>
                <w:rFonts w:hint="eastAsia" w:ascii="方正书宋简体" w:hAnsi="方正书宋简体" w:eastAsia="方正书宋简体" w:cs="方正书宋简体"/>
                <w:sz w:val="18"/>
                <w:szCs w:val="24"/>
              </w:rPr>
              <w:instrText xml:space="preserve"> = 4 \* ROMAN \* MERGEFORMAT </w:instrText>
            </w:r>
            <w:r>
              <w:rPr>
                <w:rFonts w:hint="eastAsia" w:ascii="方正书宋简体" w:hAnsi="方正书宋简体" w:eastAsia="方正书宋简体" w:cs="方正书宋简体"/>
                <w:sz w:val="18"/>
                <w:szCs w:val="24"/>
              </w:rPr>
              <w:fldChar w:fldCharType="separate"/>
            </w:r>
            <w:r>
              <w:rPr>
                <w:rFonts w:hint="eastAsia" w:ascii="方正书宋简体" w:hAnsi="方正书宋简体" w:eastAsia="方正书宋简体" w:cs="方正书宋简体"/>
                <w:sz w:val="18"/>
                <w:szCs w:val="24"/>
              </w:rPr>
              <w:t>IV</w:t>
            </w:r>
            <w:r>
              <w:rPr>
                <w:rFonts w:hint="eastAsia" w:ascii="方正书宋简体" w:hAnsi="方正书宋简体" w:eastAsia="方正书宋简体" w:cs="方正书宋简体"/>
                <w:sz w:val="18"/>
                <w:szCs w:val="24"/>
              </w:rPr>
              <w:fldChar w:fldCharType="end"/>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2115T0001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计算机应用基础</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2112T0001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大学体育I</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line="200" w:lineRule="exact"/>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分为体育技能基础课，体育俱乐部课、体育创新课、体育保健课四类，理论部分由学生自主在线学习。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2112T0002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大学体育Ⅱ</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2112T0003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大学体育Ⅲ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2112T0004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大学体育Ⅳ</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2100T0002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大学生心理健康教育</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color w:val="000000"/>
                <w:kern w:val="0"/>
                <w:sz w:val="15"/>
                <w:szCs w:val="15"/>
                <w:highlight w:val="none"/>
              </w:rPr>
              <w:t>第二学期结课进行考核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2100T0003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创新创业基础</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2100T0004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职业规划与就业指导</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42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822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712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78</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9</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kern w:val="0"/>
                <w:sz w:val="18"/>
                <w:szCs w:val="24"/>
                <w:highlight w:val="yellow"/>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kern w:val="0"/>
                <w:sz w:val="18"/>
                <w:szCs w:val="24"/>
                <w:highlight w:val="yellow"/>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kern w:val="0"/>
                <w:sz w:val="18"/>
                <w:szCs w:val="24"/>
                <w:highlight w:val="yellow"/>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color w:val="FF0000"/>
                <w:kern w:val="0"/>
                <w:sz w:val="18"/>
                <w:szCs w:val="24"/>
                <w:highlight w:val="yellow"/>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通识</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选修</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艺术审美类</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line="200" w:lineRule="exact"/>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须修读8学分，其中艺术审美类课程 2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其它通识选修课</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96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96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8</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128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128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学</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科</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基</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础</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p>
            <w:pPr>
              <w:spacing w:beforeLines="0" w:afterLines="0"/>
              <w:rPr>
                <w:rFonts w:hint="eastAsia" w:ascii="方正书宋简体" w:hAnsi="方正书宋简体" w:eastAsia="方正书宋简体" w:cs="方正书宋简体"/>
                <w:sz w:val="18"/>
                <w:szCs w:val="18"/>
              </w:rPr>
            </w:pP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大</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类</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平</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台</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widowControl/>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和</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学</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科</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基</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础</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程</w:t>
            </w: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line="240" w:lineRule="atLeast"/>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2110X0001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line="240" w:lineRule="atLeast"/>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高等数学AⅠ</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2109X0001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无机及分析化学A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2110X0002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高等数学AⅡ</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2109X0004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有机化学A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80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2103X0008</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bottom"/>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工程制图B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yellow"/>
              </w:rPr>
            </w:pPr>
            <w:r>
              <w:rPr>
                <w:rFonts w:hint="eastAsia" w:ascii="方正书宋简体" w:hAnsi="方正书宋简体" w:eastAsia="方正书宋简体" w:cs="方正书宋简体"/>
                <w:kern w:val="0"/>
                <w:sz w:val="18"/>
                <w:szCs w:val="24"/>
              </w:rPr>
              <w:t>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xml:space="preserve">2109X0026  </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物理化学B</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2103X0221</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生物工程专业导论</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上2</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2103X0005</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bottom"/>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大学物理C</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2110X0006</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线性代数A</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2101X0003</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生物化学</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lang w:eastAsia="zh-CN"/>
              </w:rPr>
            </w:pPr>
            <w:r>
              <w:rPr>
                <w:rFonts w:hint="eastAsia" w:ascii="方正书宋简体" w:hAnsi="方正书宋简体" w:eastAsia="方正书宋简体" w:cs="方正书宋简体"/>
                <w:kern w:val="0"/>
                <w:sz w:val="18"/>
                <w:szCs w:val="24"/>
                <w:lang w:val="en-US" w:eastAsia="zh-CN"/>
              </w:rPr>
              <w:t>4</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2109X0024</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化工原理CⅠ</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2109X0025</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化工原理CⅡ</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2110X0008</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概率论与统计应用A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2101X0211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微生物学A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2101X0212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微生物学实验技术A</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2101X0133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试验设计与统计分析B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exact"/>
              <w:jc w:val="left"/>
              <w:textAlignment w:val="auto"/>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52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b/>
                <w:sz w:val="18"/>
                <w:szCs w:val="24"/>
              </w:rPr>
            </w:pPr>
            <w:r>
              <w:rPr>
                <w:rFonts w:hint="eastAsia" w:ascii="方正书宋简体" w:hAnsi="方正书宋简体" w:eastAsia="方正书宋简体" w:cs="方正书宋简体"/>
                <w:b/>
                <w:sz w:val="18"/>
                <w:szCs w:val="24"/>
              </w:rPr>
              <w:t>848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676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172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b/>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18</w:t>
            </w: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13</w:t>
            </w: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方正书宋简体" w:hAnsi="方正书宋简体" w:eastAsia="方正书宋简体" w:cs="方正书宋简体"/>
                <w:kern w:val="0"/>
                <w:sz w:val="18"/>
                <w:szCs w:val="24"/>
              </w:rPr>
            </w:pPr>
          </w:p>
          <w:p>
            <w:pPr>
              <w:keepNext w:val="0"/>
              <w:keepLines w:val="0"/>
              <w:pageBreakBefore w:val="0"/>
              <w:widowControl/>
              <w:kinsoku/>
              <w:wordWrap/>
              <w:overflowPunct/>
              <w:topLinePunct w:val="0"/>
              <w:autoSpaceDE/>
              <w:autoSpaceDN/>
              <w:bidi w:val="0"/>
              <w:adjustRightInd/>
              <w:snapToGrid/>
              <w:spacing w:beforeLines="0" w:afterLines="0" w:line="240" w:lineRule="exact"/>
              <w:textAlignment w:val="auto"/>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教</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育</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程</w:t>
            </w: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核</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心</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程</w:t>
            </w: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2101Z0324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分子生物学C（双语）</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2101Z0222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生物工程设备与工厂设计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2101Z0221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发酵工程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2101Z0231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酶与蛋白质工程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2101Z0232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生化工程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2101Z0233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生物分离工程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2101Z0223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生物工业分析</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必修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b/>
                <w:sz w:val="18"/>
                <w:szCs w:val="24"/>
              </w:rPr>
              <w:t>352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248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b/>
                <w:kern w:val="0"/>
                <w:sz w:val="18"/>
                <w:szCs w:val="24"/>
              </w:rPr>
              <w:t>104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18"/>
              </w:rPr>
            </w:pPr>
          </w:p>
        </w:tc>
        <w:tc>
          <w:tcPr>
            <w:tcW w:w="6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专</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业</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选</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修</w:t>
            </w:r>
          </w:p>
          <w:p>
            <w:pPr>
              <w:spacing w:beforeLines="0" w:afterLines="0"/>
              <w:jc w:val="center"/>
              <w:rPr>
                <w:rFonts w:hint="eastAsia" w:ascii="方正书宋简体" w:hAnsi="方正书宋简体" w:eastAsia="方正书宋简体" w:cs="方正书宋简体"/>
                <w:kern w:val="0"/>
                <w:sz w:val="18"/>
                <w:szCs w:val="18"/>
              </w:rPr>
            </w:pPr>
            <w:r>
              <w:rPr>
                <w:rFonts w:hint="eastAsia" w:ascii="方正书宋简体" w:hAnsi="方正书宋简体" w:eastAsia="方正书宋简体" w:cs="方正书宋简体"/>
                <w:kern w:val="0"/>
                <w:sz w:val="18"/>
                <w:szCs w:val="18"/>
              </w:rPr>
              <w:t>课</w:t>
            </w:r>
          </w:p>
          <w:p>
            <w:pPr>
              <w:spacing w:beforeLines="0" w:afterLines="0"/>
              <w:jc w:val="center"/>
              <w:rPr>
                <w:rFonts w:hint="eastAsia" w:ascii="方正书宋简体" w:hAnsi="方正书宋简体" w:eastAsia="方正书宋简体" w:cs="方正书宋简体"/>
                <w:sz w:val="18"/>
                <w:szCs w:val="18"/>
              </w:rPr>
            </w:pPr>
            <w:r>
              <w:rPr>
                <w:rFonts w:hint="eastAsia" w:ascii="方正书宋简体" w:hAnsi="方正书宋简体" w:eastAsia="方正书宋简体" w:cs="方正书宋简体"/>
                <w:kern w:val="0"/>
                <w:sz w:val="18"/>
                <w:szCs w:val="18"/>
              </w:rPr>
              <w:t>程</w:t>
            </w:r>
          </w:p>
        </w:tc>
        <w:tc>
          <w:tcPr>
            <w:tcW w:w="12281" w:type="dxa"/>
            <w:gridSpan w:val="19"/>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xml:space="preserve">    学生须从下列课程中选修不少于22.5学分。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2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shd w:val="clear" w:color="auto" w:fill="FFFFFF"/>
              </w:rPr>
              <w:t>专业技术A类</w:t>
            </w: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2101Z1234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生物技术制药</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专业限选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免疫学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10</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下4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2101Z1213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食药用菌生物技术</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2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r>
              <w:rPr>
                <w:rFonts w:hint="eastAsia" w:ascii="方正书宋简体" w:hAnsi="方正书宋简体" w:eastAsia="方正书宋简体" w:cs="方正书宋简体"/>
                <w:kern w:val="0"/>
                <w:sz w:val="18"/>
                <w:szCs w:val="24"/>
                <w:shd w:val="clear" w:color="auto" w:fill="FFFFFF"/>
              </w:rPr>
              <w:t>专业技术B类</w:t>
            </w: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2101Z1220</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发酵工艺学</w:t>
            </w:r>
            <w:r>
              <w:rPr>
                <w:rFonts w:hint="eastAsia" w:ascii="方正书宋简体" w:hAnsi="方正书宋简体" w:eastAsia="方正书宋简体" w:cs="方正书宋简体"/>
                <w:kern w:val="0"/>
                <w:sz w:val="18"/>
                <w:szCs w:val="24"/>
              </w:rPr>
              <w:t>Ⅰ</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发酵工程方向</w:t>
            </w:r>
          </w:p>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2101Z1221</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发酵工艺学</w:t>
            </w:r>
            <w:r>
              <w:rPr>
                <w:rFonts w:hint="eastAsia" w:ascii="方正书宋简体" w:hAnsi="方正书宋简体" w:eastAsia="方正书宋简体" w:cs="方正书宋简体"/>
                <w:kern w:val="0"/>
                <w:sz w:val="18"/>
                <w:szCs w:val="24"/>
              </w:rPr>
              <w:t>Ⅱ</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上4</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2101Z1223</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代谢工程</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16</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上6</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 xml:space="preserve">2101Z1243 </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药用植物学B</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48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考试</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3</w:t>
            </w: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中药现代化方向</w:t>
            </w:r>
          </w:p>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2101Z1247</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中药学概论Ⅰ</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64</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40</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上4</w:t>
            </w:r>
          </w:p>
        </w:tc>
        <w:tc>
          <w:tcPr>
            <w:tcW w:w="5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shd w:val="clear" w:color="auto" w:fill="FFFFFF"/>
              </w:rPr>
            </w:pPr>
          </w:p>
        </w:tc>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2101Z1248</w:t>
            </w: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中药学概论Ⅱ</w:t>
            </w:r>
          </w:p>
        </w:tc>
        <w:tc>
          <w:tcPr>
            <w:tcW w:w="4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上4</w:t>
            </w:r>
          </w:p>
        </w:tc>
        <w:tc>
          <w:tcPr>
            <w:tcW w:w="5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2101Z1235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环境生物技术</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2101Z1326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基因工程C</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2101Z1165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tabs>
                <w:tab w:val="center" w:pos="1048"/>
              </w:tabs>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项目管理</w:t>
            </w:r>
            <w:r>
              <w:rPr>
                <w:rFonts w:hint="eastAsia" w:ascii="方正书宋简体" w:hAnsi="方正书宋简体" w:eastAsia="方正书宋简体" w:cs="方正书宋简体"/>
                <w:sz w:val="18"/>
                <w:szCs w:val="24"/>
              </w:rPr>
              <w:tab/>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酒类风味化学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2101Z1347</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细胞工程C</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2101Z1228</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创新工程实践（MOOC）</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5-6学期修完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2101Z1229</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生物安全（MOOC）</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5-6学期修完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kern w:val="0"/>
                <w:sz w:val="18"/>
                <w:szCs w:val="24"/>
              </w:rPr>
              <w:t>发酵过程优化原理与实践</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2101Z1214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工业微生物遗传育种</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kern w:val="0"/>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2101Z1237</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生物工程专业英语</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2101Z1322</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生物信息学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8</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2101Z1226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文献检索与科技论文写作</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24</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16</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8</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上3</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2101Z1134</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统计与SAS</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2101Z1236</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天然活性物质</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20</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12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2101Z1315</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高级生物化学</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color w:val="000000"/>
                <w:kern w:val="0"/>
                <w:sz w:val="18"/>
                <w:szCs w:val="24"/>
                <w:lang w:bidi="ar"/>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color w:val="000000"/>
                <w:kern w:val="0"/>
                <w:sz w:val="18"/>
                <w:szCs w:val="24"/>
                <w:lang w:bidi="ar"/>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color w:val="000000"/>
                <w:kern w:val="0"/>
                <w:sz w:val="18"/>
                <w:szCs w:val="24"/>
                <w:lang w:bidi="ar"/>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color w:val="000000"/>
                <w:kern w:val="0"/>
                <w:sz w:val="18"/>
                <w:szCs w:val="24"/>
                <w:lang w:bidi="ar"/>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color w:val="000000"/>
                <w:kern w:val="0"/>
                <w:sz w:val="18"/>
                <w:szCs w:val="24"/>
                <w:lang w:bidi="ar"/>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color w:val="000000"/>
                <w:kern w:val="0"/>
                <w:sz w:val="18"/>
                <w:szCs w:val="24"/>
                <w:lang w:bidi="ar"/>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276"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101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2101Z1238</w:t>
            </w: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生物工程创新创业专题</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2</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32</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选修</w:t>
            </w: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考查</w:t>
            </w: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r>
              <w:rPr>
                <w:rFonts w:hint="eastAsia" w:ascii="方正书宋简体" w:hAnsi="方正书宋简体" w:eastAsia="方正书宋简体" w:cs="方正书宋简体"/>
                <w:sz w:val="18"/>
                <w:szCs w:val="24"/>
              </w:rPr>
              <w:t>上4</w:t>
            </w: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6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88"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p>
        </w:tc>
        <w:tc>
          <w:tcPr>
            <w:tcW w:w="2098"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22.5</w:t>
            </w:r>
          </w:p>
        </w:tc>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4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50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sz w:val="18"/>
                <w:szCs w:val="24"/>
              </w:rPr>
            </w:pPr>
          </w:p>
        </w:tc>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692"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57" w:type="dxa"/>
            </w:tcMar>
            <w:vAlign w:val="center"/>
          </w:tcPr>
          <w:p>
            <w:pPr>
              <w:spacing w:beforeLines="0" w:afterLines="0"/>
              <w:jc w:val="center"/>
              <w:rPr>
                <w:rFonts w:hint="eastAsia" w:ascii="方正书宋简体" w:hAnsi="方正书宋简体" w:eastAsia="方正书宋简体" w:cs="方正书宋简体"/>
                <w:kern w:val="0"/>
                <w:sz w:val="18"/>
                <w:szCs w:val="24"/>
              </w:rPr>
            </w:pPr>
          </w:p>
        </w:tc>
      </w:tr>
    </w:tbl>
    <w:p>
      <w:pPr>
        <w:spacing w:beforeLines="0" w:after="120" w:afterLines="50"/>
        <w:ind w:firstLine="420"/>
        <w:rPr>
          <w:rFonts w:hint="eastAsia" w:ascii="方正书宋简体" w:hAnsi="方正书宋简体" w:eastAsia="方正书宋简体" w:cs="方正书宋简体"/>
          <w:sz w:val="15"/>
          <w:szCs w:val="15"/>
        </w:rPr>
      </w:pPr>
      <w:r>
        <w:rPr>
          <w:rFonts w:hint="eastAsia" w:ascii="方正书宋简体" w:hAnsi="方正书宋简体" w:eastAsia="方正书宋简体" w:cs="方正书宋简体"/>
          <w:sz w:val="15"/>
          <w:szCs w:val="15"/>
        </w:rPr>
        <w:t>注：开设学期栏中“上”表示本学期第一个学段，“下”表示本学期第二个学段。</w:t>
      </w:r>
    </w:p>
    <w:p>
      <w:pPr>
        <w:spacing w:beforeLines="0" w:after="120" w:afterLines="50"/>
        <w:ind w:firstLine="420"/>
        <w:rPr>
          <w:rFonts w:hint="default" w:ascii="Times New Roman" w:hAnsi="Times New Roman"/>
          <w:sz w:val="18"/>
          <w:szCs w:val="24"/>
        </w:rPr>
      </w:pPr>
    </w:p>
    <w:p>
      <w:pPr>
        <w:spacing w:beforeLines="0" w:after="120" w:afterLines="50"/>
        <w:ind w:firstLine="420"/>
        <w:rPr>
          <w:rFonts w:hint="default" w:ascii="Times New Roman" w:hAnsi="Times New Roman"/>
          <w:sz w:val="18"/>
          <w:szCs w:val="24"/>
        </w:rPr>
      </w:pPr>
    </w:p>
    <w:p>
      <w:pPr>
        <w:spacing w:beforeLines="0" w:after="120" w:afterLines="50"/>
        <w:ind w:firstLine="420"/>
        <w:rPr>
          <w:rFonts w:hint="default" w:ascii="Times New Roman" w:hAnsi="Times New Roman"/>
          <w:sz w:val="18"/>
          <w:szCs w:val="24"/>
        </w:rPr>
      </w:pPr>
    </w:p>
    <w:p>
      <w:pPr>
        <w:spacing w:beforeLines="0" w:after="120" w:afterLines="50"/>
        <w:ind w:firstLine="420"/>
        <w:rPr>
          <w:rFonts w:hint="default" w:ascii="Times New Roman" w:hAnsi="Times New Roman"/>
          <w:sz w:val="18"/>
          <w:szCs w:val="24"/>
        </w:rPr>
      </w:pPr>
    </w:p>
    <w:p>
      <w:pPr>
        <w:spacing w:beforeLines="0" w:after="120" w:afterLines="50"/>
        <w:ind w:firstLine="420"/>
        <w:rPr>
          <w:rFonts w:hint="default" w:ascii="Times New Roman" w:hAnsi="Times New Roman"/>
          <w:sz w:val="18"/>
          <w:szCs w:val="24"/>
        </w:rPr>
      </w:pPr>
    </w:p>
    <w:p>
      <w:pPr>
        <w:spacing w:beforeLines="0" w:after="120" w:afterLines="50"/>
        <w:ind w:firstLine="420"/>
        <w:rPr>
          <w:rFonts w:hint="default" w:ascii="Times New Roman" w:hAnsi="Times New Roman"/>
          <w:sz w:val="18"/>
          <w:szCs w:val="24"/>
        </w:rPr>
      </w:pPr>
    </w:p>
    <w:p>
      <w:pPr>
        <w:keepNext w:val="0"/>
        <w:keepLines w:val="0"/>
        <w:pageBreakBefore w:val="0"/>
        <w:widowControl/>
        <w:kinsoku/>
        <w:wordWrap/>
        <w:overflowPunct/>
        <w:topLinePunct w:val="0"/>
        <w:autoSpaceDE/>
        <w:autoSpaceDN/>
        <w:bidi w:val="0"/>
        <w:adjustRightInd/>
        <w:snapToGrid w:val="0"/>
        <w:spacing w:beforeLines="0" w:afterLines="0"/>
        <w:jc w:val="left"/>
        <w:textAlignment w:val="auto"/>
        <w:rPr>
          <w:rFonts w:hint="eastAsia" w:ascii="楷体_GB2312" w:hAnsi="楷体_GB2312" w:eastAsia="楷体_GB2312" w:cs="楷体_GB2312"/>
          <w:b/>
          <w:kern w:val="0"/>
          <w:sz w:val="18"/>
          <w:szCs w:val="18"/>
        </w:rPr>
      </w:pPr>
      <w:r>
        <w:rPr>
          <w:rFonts w:hint="default" w:ascii="Times New Roman" w:hAnsi="Times New Roman" w:eastAsia="黑体"/>
          <w:kern w:val="0"/>
          <w:sz w:val="18"/>
          <w:szCs w:val="24"/>
        </w:rPr>
        <w:t xml:space="preserve">   </w:t>
      </w:r>
      <w:r>
        <w:rPr>
          <w:rFonts w:hint="eastAsia" w:ascii="方正黑体_GBK" w:hAnsi="方正黑体_GBK" w:eastAsia="方正黑体_GBK" w:cs="方正黑体_GBK"/>
          <w:sz w:val="21"/>
          <w:szCs w:val="21"/>
        </w:rPr>
        <w:t>（二）实践教学课程</w:t>
      </w:r>
    </w:p>
    <w:tbl>
      <w:tblPr>
        <w:tblStyle w:val="6"/>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1215"/>
        <w:gridCol w:w="2331"/>
        <w:gridCol w:w="13"/>
        <w:gridCol w:w="582"/>
        <w:gridCol w:w="474"/>
        <w:gridCol w:w="522"/>
        <w:gridCol w:w="511"/>
        <w:gridCol w:w="700"/>
        <w:gridCol w:w="575"/>
        <w:gridCol w:w="577"/>
        <w:gridCol w:w="510"/>
        <w:gridCol w:w="574"/>
        <w:gridCol w:w="486"/>
        <w:gridCol w:w="576"/>
        <w:gridCol w:w="534"/>
        <w:gridCol w:w="51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blHeader/>
          <w:jc w:val="center"/>
        </w:trPr>
        <w:tc>
          <w:tcPr>
            <w:tcW w:w="8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eastAsia" w:ascii="Times New Roman" w:hAnsi="Times New Roman" w:eastAsia="黑体"/>
                <w:kern w:val="0"/>
                <w:sz w:val="18"/>
                <w:szCs w:val="24"/>
              </w:rPr>
              <w:t>课程</w:t>
            </w:r>
          </w:p>
          <w:p>
            <w:pPr>
              <w:widowControl/>
              <w:spacing w:beforeLines="0" w:afterLines="0"/>
              <w:jc w:val="center"/>
              <w:rPr>
                <w:rFonts w:hint="default" w:ascii="Times New Roman" w:hAnsi="Times New Roman" w:eastAsia="黑体"/>
                <w:kern w:val="0"/>
                <w:sz w:val="18"/>
                <w:szCs w:val="24"/>
              </w:rPr>
            </w:pPr>
            <w:r>
              <w:rPr>
                <w:rFonts w:hint="eastAsia" w:ascii="Times New Roman" w:hAnsi="Times New Roman" w:eastAsia="黑体"/>
                <w:kern w:val="0"/>
                <w:sz w:val="18"/>
                <w:szCs w:val="24"/>
              </w:rPr>
              <w:t>结构</w:t>
            </w:r>
          </w:p>
          <w:p>
            <w:pPr>
              <w:widowControl/>
              <w:spacing w:beforeLines="0" w:afterLines="0"/>
              <w:jc w:val="center"/>
              <w:rPr>
                <w:rFonts w:hint="default" w:ascii="Times New Roman" w:hAnsi="Times New Roman" w:eastAsia="黑体"/>
                <w:kern w:val="0"/>
                <w:sz w:val="18"/>
                <w:szCs w:val="24"/>
              </w:rPr>
            </w:pPr>
          </w:p>
        </w:tc>
        <w:tc>
          <w:tcPr>
            <w:tcW w:w="1215"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课程编码</w:t>
            </w:r>
          </w:p>
        </w:tc>
        <w:tc>
          <w:tcPr>
            <w:tcW w:w="2331"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课程名称</w:t>
            </w:r>
          </w:p>
        </w:tc>
        <w:tc>
          <w:tcPr>
            <w:tcW w:w="5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学</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tc>
        <w:tc>
          <w:tcPr>
            <w:tcW w:w="4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周</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数</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5"/>
                <w:szCs w:val="15"/>
              </w:rPr>
              <w:t>(学时)</w:t>
            </w:r>
          </w:p>
        </w:tc>
        <w:tc>
          <w:tcPr>
            <w:tcW w:w="10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教学形式</w:t>
            </w:r>
          </w:p>
        </w:tc>
        <w:tc>
          <w:tcPr>
            <w:tcW w:w="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修读</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类型</w:t>
            </w:r>
          </w:p>
        </w:tc>
        <w:tc>
          <w:tcPr>
            <w:tcW w:w="4342"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开设学期及周次</w:t>
            </w:r>
          </w:p>
        </w:tc>
        <w:tc>
          <w:tcPr>
            <w:tcW w:w="18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Times New Roman" w:hAnsi="Times New Roman" w:eastAsia="黑体"/>
                <w:kern w:val="0"/>
                <w:sz w:val="18"/>
                <w:szCs w:val="24"/>
              </w:rPr>
            </w:pPr>
            <w:r>
              <w:rPr>
                <w:rFonts w:hint="eastAsia" w:ascii="方正黑体_GBK" w:hAnsi="方正黑体_GBK" w:eastAsia="方正黑体_GBK" w:cs="方正黑体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blHeader/>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1215"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黑体_GBK" w:hAnsi="方正黑体_GBK" w:eastAsia="方正黑体_GBK" w:cs="方正黑体_GBK"/>
                <w:sz w:val="20"/>
                <w:szCs w:val="20"/>
              </w:rPr>
            </w:pPr>
          </w:p>
        </w:tc>
        <w:tc>
          <w:tcPr>
            <w:tcW w:w="233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黑体_GBK" w:hAnsi="方正黑体_GBK" w:eastAsia="方正黑体_GBK" w:cs="方正黑体_GBK"/>
                <w:sz w:val="20"/>
                <w:szCs w:val="20"/>
              </w:rPr>
            </w:pPr>
          </w:p>
        </w:tc>
        <w:tc>
          <w:tcPr>
            <w:tcW w:w="5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黑体_GBK" w:hAnsi="方正黑体_GBK" w:eastAsia="方正黑体_GBK" w:cs="方正黑体_GBK"/>
                <w:sz w:val="20"/>
                <w:szCs w:val="20"/>
              </w:rPr>
            </w:pPr>
          </w:p>
        </w:tc>
        <w:tc>
          <w:tcPr>
            <w:tcW w:w="4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黑体_GBK" w:hAnsi="方正黑体_GBK" w:eastAsia="方正黑体_GBK" w:cs="方正黑体_GBK"/>
                <w:sz w:val="20"/>
                <w:szCs w:val="20"/>
              </w:rPr>
            </w:pPr>
          </w:p>
        </w:tc>
        <w:tc>
          <w:tcPr>
            <w:tcW w:w="52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集</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中</w:t>
            </w:r>
          </w:p>
        </w:tc>
        <w:tc>
          <w:tcPr>
            <w:tcW w:w="5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分</w:t>
            </w:r>
          </w:p>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散</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黑体_GBK" w:hAnsi="方正黑体_GBK" w:eastAsia="方正黑体_GBK" w:cs="方正黑体_GBK"/>
                <w:sz w:val="20"/>
                <w:szCs w:val="20"/>
              </w:rPr>
            </w:pPr>
          </w:p>
        </w:tc>
        <w:tc>
          <w:tcPr>
            <w:tcW w:w="11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第一学年</w:t>
            </w:r>
          </w:p>
        </w:tc>
        <w:tc>
          <w:tcPr>
            <w:tcW w:w="1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第二学年</w:t>
            </w:r>
          </w:p>
        </w:tc>
        <w:tc>
          <w:tcPr>
            <w:tcW w:w="10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第三学年</w:t>
            </w:r>
          </w:p>
        </w:tc>
        <w:tc>
          <w:tcPr>
            <w:tcW w:w="10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黑体_GBK" w:hAnsi="方正黑体_GBK" w:eastAsia="方正黑体_GBK" w:cs="方正黑体_GBK"/>
                <w:kern w:val="0"/>
                <w:sz w:val="18"/>
                <w:szCs w:val="18"/>
              </w:rPr>
            </w:pPr>
            <w:r>
              <w:rPr>
                <w:rFonts w:hint="eastAsia" w:ascii="方正黑体_GBK" w:hAnsi="方正黑体_GBK" w:eastAsia="方正黑体_GBK" w:cs="方正黑体_GBK"/>
                <w:kern w:val="0"/>
                <w:sz w:val="18"/>
                <w:szCs w:val="18"/>
              </w:rPr>
              <w:t>第四学年</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Header/>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c>
          <w:tcPr>
            <w:tcW w:w="1215"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2331"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5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4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5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5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Times New Roman" w:hAnsi="Times New Roman"/>
                <w:sz w:val="20"/>
                <w:szCs w:val="24"/>
              </w:rPr>
            </w:pP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1</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2</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3</w:t>
            </w: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4</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5</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6</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7</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kern w:val="0"/>
                <w:sz w:val="18"/>
                <w:szCs w:val="24"/>
              </w:rPr>
            </w:pPr>
            <w:r>
              <w:rPr>
                <w:rFonts w:hint="default" w:ascii="Times New Roman" w:hAnsi="Times New Roman" w:eastAsia="黑体"/>
                <w:kern w:val="0"/>
                <w:sz w:val="18"/>
                <w:szCs w:val="24"/>
              </w:rPr>
              <w:t>8</w:t>
            </w:r>
          </w:p>
        </w:tc>
        <w:tc>
          <w:tcPr>
            <w:tcW w:w="18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default" w:ascii="Times New Roman" w:hAnsi="Times New Roman"/>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2100S0001</w:t>
            </w:r>
          </w:p>
        </w:tc>
        <w:tc>
          <w:tcPr>
            <w:tcW w:w="2331"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军事训练</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方正书宋简体" w:hAnsi="方正书宋简体" w:eastAsia="方正书宋简体" w:cs="方正书宋简体"/>
                <w:kern w:val="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2101S0212</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专业劳动实践</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1</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6"/>
                <w:szCs w:val="16"/>
                <w:highlight w:val="none"/>
              </w:rPr>
              <w:t>16学时</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24"/>
                <w:highlight w:val="none"/>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r>
              <w:rPr>
                <w:rFonts w:hint="eastAsia" w:ascii="方正书宋简体" w:hAnsi="方正书宋简体" w:eastAsia="方正书宋简体" w:cs="方正书宋简体"/>
                <w:color w:val="auto"/>
                <w:kern w:val="0"/>
                <w:sz w:val="18"/>
                <w:szCs w:val="18"/>
                <w:highlight w:val="none"/>
              </w:rPr>
              <w:t>*</w:t>
            </w: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highlight w:val="none"/>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5"/>
                <w:szCs w:val="24"/>
                <w:highlight w:val="none"/>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Lines="0" w:afterLines="0"/>
              <w:rPr>
                <w:rFonts w:hint="eastAsia" w:ascii="方正书宋简体" w:hAnsi="方正书宋简体" w:eastAsia="方正书宋简体" w:cs="方正书宋简体"/>
                <w:kern w:val="0"/>
                <w:sz w:val="16"/>
                <w:szCs w:val="24"/>
                <w:highlight w:val="none"/>
              </w:rPr>
            </w:pPr>
            <w:r>
              <w:rPr>
                <w:rFonts w:hint="eastAsia" w:ascii="方正书宋简体" w:hAnsi="方正书宋简体" w:eastAsia="方正书宋简体" w:cs="方正书宋简体"/>
                <w:color w:val="auto"/>
                <w:sz w:val="15"/>
                <w:szCs w:val="24"/>
                <w:highlight w:val="none"/>
              </w:rPr>
              <w:t>分散在</w:t>
            </w:r>
            <w:r>
              <w:rPr>
                <w:rFonts w:hint="eastAsia" w:ascii="方正书宋简体" w:hAnsi="方正书宋简体" w:eastAsia="方正书宋简体" w:cs="方正书宋简体"/>
                <w:color w:val="auto"/>
                <w:sz w:val="15"/>
                <w:szCs w:val="24"/>
                <w:highlight w:val="none"/>
                <w:lang w:val="en-US" w:eastAsia="zh-CN"/>
              </w:rPr>
              <w:t>各</w:t>
            </w:r>
            <w:r>
              <w:rPr>
                <w:rFonts w:hint="eastAsia" w:ascii="方正书宋简体" w:hAnsi="方正书宋简体" w:eastAsia="方正书宋简体" w:cs="方正书宋简体"/>
                <w:color w:val="auto"/>
                <w:sz w:val="15"/>
                <w:szCs w:val="24"/>
                <w:highlight w:val="none"/>
              </w:rPr>
              <w:t>学期进行，第6学期结束进行考核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2101S0229</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金工实习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17</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2101S0224</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生物工程综合实训</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暑1-2</w:t>
            </w: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2101S0231</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生物工程专业实验</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3</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11-13</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2101S0221</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发酵工程课程实习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w:t>
            </w: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2101S0233</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生物分离工程课程实习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w:t>
            </w: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2101S0222</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15" w:lineRule="auto"/>
              <w:jc w:val="left"/>
              <w:textAlignment w:val="auto"/>
              <w:outlineLvl w:val="9"/>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生物工程设备与工厂设计课程实习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14</w:t>
            </w: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2101S1213</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食药用菌生物技术课程实习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w:t>
            </w: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专业限选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2101S1220</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发酵工艺学I课程实习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10</w:t>
            </w: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发酵工程方向限选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2101S1243</w:t>
            </w:r>
          </w:p>
        </w:tc>
        <w:tc>
          <w:tcPr>
            <w:tcW w:w="2331"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药用植物学B课程实习</w:t>
            </w:r>
          </w:p>
        </w:tc>
        <w:tc>
          <w:tcPr>
            <w:tcW w:w="59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4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0.5</w:t>
            </w:r>
          </w:p>
        </w:tc>
        <w:tc>
          <w:tcPr>
            <w:tcW w:w="52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选修</w:t>
            </w:r>
          </w:p>
        </w:tc>
        <w:tc>
          <w:tcPr>
            <w:tcW w:w="57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14</w:t>
            </w:r>
          </w:p>
        </w:tc>
        <w:tc>
          <w:tcPr>
            <w:tcW w:w="48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beforeLines="0" w:afterLines="0"/>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kern w:val="0"/>
                <w:sz w:val="16"/>
                <w:szCs w:val="24"/>
              </w:rPr>
              <w:t>中药现代化方向限选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2101S0225</w:t>
            </w:r>
          </w:p>
        </w:tc>
        <w:tc>
          <w:tcPr>
            <w:tcW w:w="2331"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毕业设计环节Ⅰ</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4.5</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9</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11-18</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2101S0226</w:t>
            </w:r>
          </w:p>
        </w:tc>
        <w:tc>
          <w:tcPr>
            <w:tcW w:w="2331"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毕业设计环节Ⅱ</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5.5</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11</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6-16</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2101S0227</w:t>
            </w:r>
          </w:p>
        </w:tc>
        <w:tc>
          <w:tcPr>
            <w:tcW w:w="2331"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生产实习Ⅰ</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2.5</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14-18</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方正书宋简体" w:hAnsi="方正书宋简体" w:eastAsia="方正书宋简体" w:cs="方正书宋简体"/>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2101S0228</w:t>
            </w:r>
          </w:p>
        </w:tc>
        <w:tc>
          <w:tcPr>
            <w:tcW w:w="2331"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生产实习Ⅱ</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2.5</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5</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1-5</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eastAsia" w:ascii="方正书宋简体" w:hAnsi="方正书宋简体" w:eastAsia="方正书宋简体" w:cs="方正书宋简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2100S0002</w:t>
            </w:r>
          </w:p>
        </w:tc>
        <w:tc>
          <w:tcPr>
            <w:tcW w:w="2344"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widowControl/>
              <w:spacing w:beforeLines="0" w:afterLines="0" w:line="320" w:lineRule="exact"/>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第二课堂</w:t>
            </w:r>
          </w:p>
        </w:tc>
        <w:tc>
          <w:tcPr>
            <w:tcW w:w="58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20" w:lineRule="exact"/>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2</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320" w:lineRule="exact"/>
              <w:jc w:val="left"/>
              <w:rPr>
                <w:rFonts w:hint="eastAsia" w:ascii="方正书宋简体" w:hAnsi="方正书宋简体" w:eastAsia="方正书宋简体" w:cs="方正书宋简体"/>
                <w:kern w:val="0"/>
                <w:sz w:val="18"/>
                <w:szCs w:val="24"/>
              </w:rPr>
            </w:pP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必修</w:t>
            </w: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r>
              <w:rPr>
                <w:rFonts w:hint="eastAsia" w:ascii="方正书宋简体" w:hAnsi="方正书宋简体" w:eastAsia="方正书宋简体" w:cs="方正书宋简体"/>
                <w:kern w:val="0"/>
                <w:sz w:val="18"/>
                <w:szCs w:val="24"/>
              </w:rPr>
              <w:t>*</w:t>
            </w: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240" w:lineRule="exact"/>
              <w:jc w:val="left"/>
              <w:rPr>
                <w:rFonts w:hint="eastAsia" w:ascii="方正书宋简体" w:hAnsi="方正书宋简体" w:eastAsia="方正书宋简体" w:cs="方正书宋简体"/>
                <w:kern w:val="0"/>
                <w:sz w:val="16"/>
                <w:szCs w:val="24"/>
              </w:rPr>
            </w:pPr>
            <w:r>
              <w:rPr>
                <w:rFonts w:hint="eastAsia" w:ascii="方正书宋简体" w:hAnsi="方正书宋简体" w:eastAsia="方正书宋简体" w:cs="方正书宋简体"/>
                <w:sz w:val="16"/>
                <w:szCs w:val="24"/>
              </w:rPr>
              <w:t>学生须通过科技创新、学科竞赛、创业实践、社会实践、职业技能考试等活动获得学分。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exact"/>
          <w:jc w:val="center"/>
        </w:trPr>
        <w:tc>
          <w:tcPr>
            <w:tcW w:w="8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215" w:type="dxa"/>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spacing w:beforeLines="0" w:afterLines="0"/>
              <w:jc w:val="left"/>
              <w:rPr>
                <w:rFonts w:hint="eastAsia" w:ascii="方正书宋简体" w:hAnsi="方正书宋简体" w:eastAsia="方正书宋简体" w:cs="方正书宋简体"/>
                <w:sz w:val="18"/>
                <w:szCs w:val="24"/>
                <w:highlight w:val="darkGree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tcMar>
              <w:top w:w="0" w:type="dxa"/>
              <w:left w:w="57" w:type="dxa"/>
              <w:bottom w:w="0" w:type="dxa"/>
              <w:right w:w="0" w:type="dxa"/>
            </w:tcMar>
            <w:vAlign w:val="center"/>
          </w:tcPr>
          <w:p>
            <w:pPr>
              <w:adjustRightInd w:val="0"/>
              <w:snapToGrid w:val="0"/>
              <w:spacing w:beforeLines="0" w:afterLines="0"/>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应修小计</w:t>
            </w:r>
          </w:p>
        </w:tc>
        <w:tc>
          <w:tcPr>
            <w:tcW w:w="5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ascii="方正书宋简体" w:hAnsi="方正书宋简体" w:eastAsia="方正书宋简体" w:cs="方正书宋简体"/>
                <w:b/>
                <w:kern w:val="0"/>
                <w:sz w:val="18"/>
                <w:szCs w:val="24"/>
              </w:rPr>
            </w:pPr>
            <w:r>
              <w:rPr>
                <w:rFonts w:hint="eastAsia" w:ascii="方正书宋简体" w:hAnsi="方正书宋简体" w:eastAsia="方正书宋简体" w:cs="方正书宋简体"/>
                <w:b/>
                <w:kern w:val="0"/>
                <w:sz w:val="18"/>
                <w:szCs w:val="24"/>
              </w:rPr>
              <w:t>2</w:t>
            </w:r>
            <w:r>
              <w:rPr>
                <w:rFonts w:hint="eastAsia" w:ascii="方正书宋简体" w:hAnsi="方正书宋简体" w:eastAsia="方正书宋简体" w:cs="方正书宋简体"/>
                <w:b/>
                <w:kern w:val="0"/>
                <w:sz w:val="18"/>
                <w:szCs w:val="24"/>
                <w:lang w:val="en-US" w:eastAsia="zh-CN"/>
              </w:rPr>
              <w:t>8</w:t>
            </w:r>
            <w:r>
              <w:rPr>
                <w:rFonts w:hint="eastAsia" w:ascii="方正书宋简体" w:hAnsi="方正书宋简体" w:eastAsia="方正书宋简体" w:cs="方正书宋简体"/>
                <w:b/>
                <w:kern w:val="0"/>
                <w:sz w:val="18"/>
                <w:szCs w:val="24"/>
              </w:rPr>
              <w:t>.5</w:t>
            </w:r>
          </w:p>
        </w:tc>
        <w:tc>
          <w:tcPr>
            <w:tcW w:w="4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方正书宋简体" w:hAnsi="方正书宋简体" w:eastAsia="方正书宋简体" w:cs="方正书宋简体"/>
                <w:kern w:val="0"/>
                <w:sz w:val="18"/>
                <w:szCs w:val="24"/>
                <w:highlight w:val="darkGreen"/>
              </w:rPr>
            </w:pPr>
          </w:p>
        </w:tc>
        <w:tc>
          <w:tcPr>
            <w:tcW w:w="5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7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highlight w:val="darkGreen"/>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c>
          <w:tcPr>
            <w:tcW w:w="189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方正书宋简体" w:hAnsi="方正书宋简体" w:eastAsia="方正书宋简体" w:cs="方正书宋简体"/>
                <w:kern w:val="0"/>
                <w:sz w:val="18"/>
                <w:szCs w:val="24"/>
              </w:rPr>
            </w:pPr>
          </w:p>
        </w:tc>
      </w:tr>
    </w:tbl>
    <w:p>
      <w:pPr>
        <w:spacing w:beforeLines="0" w:afterLines="0" w:line="220" w:lineRule="exact"/>
        <w:ind w:firstLine="10500" w:firstLineChars="5000"/>
        <w:rPr>
          <w:rFonts w:hint="eastAsia" w:ascii="方正书宋简体" w:hAnsi="方正书宋简体" w:eastAsia="方正书宋简体" w:cs="方正书宋简体"/>
          <w:sz w:val="21"/>
          <w:szCs w:val="24"/>
        </w:rPr>
      </w:pPr>
    </w:p>
    <w:p>
      <w:pPr>
        <w:keepNext w:val="0"/>
        <w:keepLines w:val="0"/>
        <w:pageBreakBefore w:val="0"/>
        <w:widowControl w:val="0"/>
        <w:kinsoku/>
        <w:wordWrap/>
        <w:overflowPunct/>
        <w:topLinePunct w:val="0"/>
        <w:autoSpaceDE/>
        <w:autoSpaceDN/>
        <w:bidi w:val="0"/>
        <w:snapToGrid w:val="0"/>
        <w:spacing w:beforeLines="0" w:afterLines="0" w:line="240" w:lineRule="auto"/>
        <w:ind w:left="0" w:leftChars="0" w:right="0" w:rightChars="0" w:firstLine="10500" w:firstLineChars="50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专业负责人：张明霞</w:t>
      </w:r>
    </w:p>
    <w:p>
      <w:pPr>
        <w:keepNext w:val="0"/>
        <w:keepLines w:val="0"/>
        <w:pageBreakBefore w:val="0"/>
        <w:widowControl w:val="0"/>
        <w:kinsoku/>
        <w:wordWrap/>
        <w:overflowPunct/>
        <w:topLinePunct w:val="0"/>
        <w:autoSpaceDE/>
        <w:autoSpaceDN/>
        <w:bidi w:val="0"/>
        <w:snapToGrid w:val="0"/>
        <w:spacing w:beforeLines="0" w:afterLines="0" w:line="240" w:lineRule="auto"/>
        <w:ind w:left="0" w:leftChars="0" w:right="0" w:rightChars="0" w:firstLine="10710" w:firstLineChars="51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教学院长：杨天佑</w:t>
      </w:r>
    </w:p>
    <w:p>
      <w:pPr>
        <w:keepNext w:val="0"/>
        <w:keepLines w:val="0"/>
        <w:pageBreakBefore w:val="0"/>
        <w:widowControl w:val="0"/>
        <w:kinsoku/>
        <w:wordWrap/>
        <w:overflowPunct/>
        <w:topLinePunct w:val="0"/>
        <w:autoSpaceDE/>
        <w:autoSpaceDN/>
        <w:bidi w:val="0"/>
        <w:snapToGrid w:val="0"/>
        <w:spacing w:beforeLines="0" w:afterLines="0" w:line="240" w:lineRule="auto"/>
        <w:ind w:left="0" w:leftChars="0" w:right="0" w:rightChars="0" w:firstLine="10500" w:firstLineChars="5000"/>
        <w:textAlignment w:val="auto"/>
        <w:outlineLvl w:val="9"/>
        <w:rPr>
          <w:rFonts w:hint="eastAsia" w:ascii="方正书宋简体" w:hAnsi="方正书宋简体" w:eastAsia="方正书宋简体" w:cs="方正书宋简体"/>
          <w:sz w:val="21"/>
          <w:szCs w:val="24"/>
        </w:rPr>
      </w:pPr>
      <w:r>
        <w:rPr>
          <w:rFonts w:hint="eastAsia" w:ascii="方正书宋简体" w:hAnsi="方正书宋简体" w:eastAsia="方正书宋简体" w:cs="方正书宋简体"/>
          <w:sz w:val="21"/>
          <w:szCs w:val="24"/>
        </w:rPr>
        <w:t>学院负责人：刘明久</w:t>
      </w:r>
    </w:p>
    <w:p>
      <w:pPr>
        <w:pStyle w:val="13"/>
        <w:keepNext w:val="0"/>
        <w:keepLines w:val="0"/>
        <w:pageBreakBefore w:val="0"/>
        <w:widowControl w:val="0"/>
        <w:kinsoku/>
        <w:wordWrap/>
        <w:overflowPunct/>
        <w:topLinePunct w:val="0"/>
        <w:autoSpaceDE/>
        <w:autoSpaceDN/>
        <w:bidi w:val="0"/>
        <w:snapToGrid w:val="0"/>
        <w:spacing w:beforeLines="0" w:afterLines="0" w:line="240" w:lineRule="auto"/>
        <w:ind w:left="0" w:leftChars="0" w:right="0" w:rightChars="0"/>
        <w:textAlignment w:val="auto"/>
        <w:outlineLvl w:val="9"/>
        <w:rPr>
          <w:rFonts w:hint="eastAsia" w:ascii="方正书宋_GBK" w:hAnsi="方正书宋_GBK" w:eastAsia="方正书宋_GBK" w:cs="方正书宋_GBK"/>
          <w:sz w:val="28"/>
          <w:szCs w:val="24"/>
        </w:rPr>
        <w:sectPr>
          <w:pgSz w:w="16157" w:h="11906" w:orient="landscape"/>
          <w:pgMar w:top="1361" w:right="1361" w:bottom="1361" w:left="1361" w:header="851" w:footer="907" w:gutter="0"/>
          <w:lnNumType w:countBy="0" w:distance="360"/>
          <w:pgNumType w:fmt="decimal"/>
          <w:cols w:space="720" w:num="1"/>
          <w:rtlGutter w:val="0"/>
          <w:docGrid w:type="lines" w:linePitch="312" w:charSpace="0"/>
        </w:sectPr>
      </w:pP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方正黑体_GBK"/>
          <w:sz w:val="30"/>
          <w:szCs w:val="30"/>
        </w:rPr>
      </w:pPr>
      <w:bookmarkStart w:id="2" w:name="_Toc11807"/>
      <w:bookmarkStart w:id="3" w:name="_Toc9997"/>
    </w:p>
    <w:bookmarkEnd w:id="2"/>
    <w:bookmarkEnd w:id="3"/>
    <w:p>
      <w:bookmarkStart w:id="4" w:name="_GoBack"/>
      <w:bookmarkEnd w:id="4"/>
    </w:p>
    <w:sectPr>
      <w:footerReference r:id="rId7" w:type="default"/>
      <w:pgSz w:w="11906" w:h="16157"/>
      <w:pgMar w:top="1361" w:right="1361" w:bottom="1361"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default"/>
        <w:sz w:val="18"/>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beforeLines="0" w:afterLines="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spacing w:beforeLines="0" w:afterLines="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default" w:ascii="Times New Roman" w:hAnsi="Times New Roman" w:cs="Times New Roman"/>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beforeLines="0" w:afterLines="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spacing w:beforeLines="0" w:afterLines="0"/>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325755"/>
              <wp:effectExtent l="0" t="0" r="0" b="0"/>
              <wp:wrapNone/>
              <wp:docPr id="8" name="文本框 1"/>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wps:spPr>
                    <wps:txbx>
                      <w:txbxContent>
                        <w:p>
                          <w:pPr>
                            <w:snapToGrid w:val="0"/>
                            <w:spacing w:beforeLines="0" w:afterLines="0"/>
                            <w:rPr>
                              <w:rFonts w:hint="default" w:ascii="Times New Roman" w:hAnsi="Times New Roman" w:cs="Times New Roman"/>
                              <w:sz w:val="18"/>
                              <w:szCs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25.65pt;width:10.65pt;mso-position-horizontal:center;mso-position-horizontal-relative:margin;mso-wrap-style:none;z-index:251659264;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QdnNjRAAAAAwEAAA8AAAAAAAAAAQAgAAAAIgAAAGRycy9kb3du&#10;cmV2LnhtbFBLAQIUABQAAAAIAIdO4kCXwWXvzQEAAJcDAAAOAAAAAAAAAAEAIAAAACABAABkcnMv&#10;ZTJvRG9jLnhtbFBLBQYAAAAABgAGAFkBAABfBQ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Lines="0" w:afterLines="0"/>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9E09"/>
    <w:multiLevelType w:val="multilevel"/>
    <w:tmpl w:val="183A9E09"/>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54FED"/>
    <w:rsid w:val="058F287E"/>
    <w:rsid w:val="05D60BF3"/>
    <w:rsid w:val="0642380D"/>
    <w:rsid w:val="065B531B"/>
    <w:rsid w:val="0A854FC2"/>
    <w:rsid w:val="0B8E6FCE"/>
    <w:rsid w:val="0D771803"/>
    <w:rsid w:val="0DBE7FDF"/>
    <w:rsid w:val="11CB3CE2"/>
    <w:rsid w:val="123A7A90"/>
    <w:rsid w:val="13C20D00"/>
    <w:rsid w:val="14BB182B"/>
    <w:rsid w:val="155E6065"/>
    <w:rsid w:val="16F35F62"/>
    <w:rsid w:val="184C4E85"/>
    <w:rsid w:val="19147216"/>
    <w:rsid w:val="195F68D2"/>
    <w:rsid w:val="1CD54128"/>
    <w:rsid w:val="1CFD6979"/>
    <w:rsid w:val="1E954087"/>
    <w:rsid w:val="2219632B"/>
    <w:rsid w:val="24745D0B"/>
    <w:rsid w:val="26BC4278"/>
    <w:rsid w:val="28274AF0"/>
    <w:rsid w:val="2AFD0B0A"/>
    <w:rsid w:val="2DDD3A47"/>
    <w:rsid w:val="322A432C"/>
    <w:rsid w:val="323227F2"/>
    <w:rsid w:val="324B099C"/>
    <w:rsid w:val="325C6394"/>
    <w:rsid w:val="35E17AE6"/>
    <w:rsid w:val="36691AD7"/>
    <w:rsid w:val="36EE058E"/>
    <w:rsid w:val="3B8261E8"/>
    <w:rsid w:val="3F617664"/>
    <w:rsid w:val="42C80C3E"/>
    <w:rsid w:val="48005791"/>
    <w:rsid w:val="48CF076A"/>
    <w:rsid w:val="4CA0399E"/>
    <w:rsid w:val="4D5B321D"/>
    <w:rsid w:val="51975BB8"/>
    <w:rsid w:val="543B409E"/>
    <w:rsid w:val="558F7DC2"/>
    <w:rsid w:val="55A657E1"/>
    <w:rsid w:val="56647D82"/>
    <w:rsid w:val="57A8196E"/>
    <w:rsid w:val="59E45154"/>
    <w:rsid w:val="60585031"/>
    <w:rsid w:val="607F2E44"/>
    <w:rsid w:val="61E2570D"/>
    <w:rsid w:val="639314BF"/>
    <w:rsid w:val="656F0F79"/>
    <w:rsid w:val="66462EC5"/>
    <w:rsid w:val="666F0D15"/>
    <w:rsid w:val="66DB1C8C"/>
    <w:rsid w:val="67D24B0E"/>
    <w:rsid w:val="6CC906E4"/>
    <w:rsid w:val="6E9A3FB9"/>
    <w:rsid w:val="724A4E56"/>
    <w:rsid w:val="746C561C"/>
    <w:rsid w:val="74E9606A"/>
    <w:rsid w:val="795D3EE1"/>
    <w:rsid w:val="79803129"/>
    <w:rsid w:val="79F871B0"/>
    <w:rsid w:val="7A1F55E5"/>
    <w:rsid w:val="7B480CB5"/>
    <w:rsid w:val="7C53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3">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ascii="Times New Roman" w:hAnsi="Times New Roman" w:eastAsia="仿宋_GB2312"/>
      <w:sz w:val="18"/>
      <w:szCs w:val="24"/>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rPr>
  </w:style>
  <w:style w:type="character" w:styleId="9">
    <w:name w:val="page number"/>
    <w:unhideWhenUsed/>
    <w:qFormat/>
    <w:uiPriority w:val="0"/>
    <w:rPr>
      <w:rFonts w:hint="default" w:ascii="Times New Roman" w:hAnsi="Times New Roman" w:eastAsia="宋体" w:cs="Times New Roman"/>
      <w:sz w:val="24"/>
      <w:szCs w:val="24"/>
    </w:rPr>
  </w:style>
  <w:style w:type="paragraph" w:customStyle="1" w:styleId="10">
    <w:name w:val="00大标"/>
    <w:basedOn w:val="1"/>
    <w:unhideWhenUsed/>
    <w:qFormat/>
    <w:uiPriority w:val="0"/>
    <w:pPr>
      <w:tabs>
        <w:tab w:val="left" w:pos="7770"/>
      </w:tabs>
      <w:adjustRightInd w:val="0"/>
      <w:snapToGrid w:val="0"/>
      <w:spacing w:beforeLines="0" w:afterLines="0" w:line="360" w:lineRule="auto"/>
      <w:jc w:val="center"/>
    </w:pPr>
    <w:rPr>
      <w:rFonts w:hint="default" w:eastAsia="方正小标宋_GBK"/>
      <w:color w:val="000000"/>
      <w:kern w:val="144"/>
      <w:sz w:val="38"/>
      <w:szCs w:val="24"/>
    </w:rPr>
  </w:style>
  <w:style w:type="paragraph" w:customStyle="1" w:styleId="11">
    <w:name w:val="111专业代码"/>
    <w:basedOn w:val="1"/>
    <w:unhideWhenUsed/>
    <w:qFormat/>
    <w:uiPriority w:val="0"/>
    <w:pPr>
      <w:spacing w:beforeLines="0" w:afterLines="0" w:line="360" w:lineRule="auto"/>
      <w:jc w:val="center"/>
    </w:pPr>
    <w:rPr>
      <w:rFonts w:hint="eastAsia" w:ascii="方正楷体简体" w:eastAsia="方正楷体简体"/>
      <w:color w:val="000000"/>
      <w:kern w:val="144"/>
      <w:sz w:val="28"/>
      <w:szCs w:val="24"/>
    </w:rPr>
  </w:style>
  <w:style w:type="paragraph" w:customStyle="1" w:styleId="12">
    <w:name w:val="11内文"/>
    <w:basedOn w:val="1"/>
    <w:unhideWhenUsed/>
    <w:qFormat/>
    <w:uiPriority w:val="0"/>
    <w:pPr>
      <w:widowControl/>
      <w:spacing w:beforeLines="0" w:afterLines="0" w:line="320" w:lineRule="exact"/>
      <w:ind w:firstLine="420" w:firstLineChars="200"/>
      <w:jc w:val="left"/>
    </w:pPr>
    <w:rPr>
      <w:rFonts w:hint="default" w:eastAsia="方正书宋简体"/>
      <w:kern w:val="0"/>
      <w:sz w:val="21"/>
      <w:szCs w:val="24"/>
    </w:rPr>
  </w:style>
  <w:style w:type="paragraph" w:customStyle="1" w:styleId="13">
    <w:name w:val="11大标题"/>
    <w:basedOn w:val="10"/>
    <w:unhideWhenUsed/>
    <w:qFormat/>
    <w:uiPriority w:val="0"/>
    <w:pPr>
      <w:spacing w:beforeLines="0" w:afterLines="0"/>
    </w:pPr>
    <w:rPr>
      <w:rFonts w:hint="default"/>
      <w:sz w:val="38"/>
      <w:szCs w:val="24"/>
    </w:rPr>
  </w:style>
  <w:style w:type="character" w:customStyle="1" w:styleId="14">
    <w:name w:val="font01"/>
    <w:unhideWhenUsed/>
    <w:qFormat/>
    <w:uiPriority w:val="0"/>
    <w:rPr>
      <w:rFonts w:hint="default" w:ascii="Times New Roman" w:hAnsi="Times New Roman" w:eastAsia="宋体" w:cs="Times New Roman"/>
      <w:color w:val="000000"/>
      <w:sz w:val="18"/>
      <w:szCs w:val="18"/>
    </w:rPr>
  </w:style>
  <w:style w:type="character" w:customStyle="1" w:styleId="15">
    <w:name w:val="font11"/>
    <w:unhideWhenUsed/>
    <w:qFormat/>
    <w:uiPriority w:val="0"/>
    <w:rPr>
      <w:rFonts w:hint="eastAsia" w:ascii="宋体" w:hAnsi="宋体" w:eastAsia="宋体" w:cs="宋体"/>
      <w:color w:val="FF0000"/>
      <w:sz w:val="18"/>
      <w:szCs w:val="18"/>
    </w:rPr>
  </w:style>
  <w:style w:type="character" w:customStyle="1" w:styleId="16">
    <w:name w:val="font41"/>
    <w:unhideWhenUsed/>
    <w:qFormat/>
    <w:uiPriority w:val="0"/>
    <w:rPr>
      <w:rFonts w:hint="default" w:ascii="Times New Roman" w:hAnsi="Times New Roman" w:eastAsia="宋体" w:cs="Times New Roman"/>
      <w:color w:val="000000"/>
      <w:sz w:val="18"/>
      <w:szCs w:val="18"/>
    </w:rPr>
  </w:style>
  <w:style w:type="character" w:customStyle="1" w:styleId="17">
    <w:name w:val="font21"/>
    <w:unhideWhenUsed/>
    <w:qFormat/>
    <w:uiPriority w:val="0"/>
    <w:rPr>
      <w:rFonts w:hint="eastAsia" w:ascii="宋体" w:hAnsi="宋体" w:eastAsia="宋体" w:cs="宋体"/>
      <w:color w:val="000000"/>
      <w:sz w:val="18"/>
      <w:szCs w:val="18"/>
    </w:rPr>
  </w:style>
  <w:style w:type="character" w:customStyle="1" w:styleId="18">
    <w:name w:val="font31"/>
    <w:unhideWhenUsed/>
    <w:qFormat/>
    <w:uiPriority w:val="0"/>
    <w:rPr>
      <w:rFonts w:hint="default" w:ascii="Times New Roman" w:hAnsi="Times New Roman" w:eastAsia="宋体" w:cs="Times New Roman"/>
      <w:color w:val="000000"/>
      <w:sz w:val="18"/>
      <w:szCs w:val="18"/>
    </w:rPr>
  </w:style>
  <w:style w:type="character" w:customStyle="1" w:styleId="19">
    <w:name w:val="font171"/>
    <w:unhideWhenUsed/>
    <w:qFormat/>
    <w:uiPriority w:val="0"/>
    <w:rPr>
      <w:rFonts w:hint="default" w:ascii="Calibri" w:hAnsi="Calibri" w:eastAsia="宋体" w:cs="Calibri"/>
      <w:color w:val="000000"/>
      <w:sz w:val="18"/>
      <w:szCs w:val="18"/>
    </w:rPr>
  </w:style>
  <w:style w:type="character" w:customStyle="1" w:styleId="20">
    <w:name w:val="font112"/>
    <w:unhideWhenUsed/>
    <w:qFormat/>
    <w:uiPriority w:val="0"/>
    <w:rPr>
      <w:rFonts w:hint="default" w:ascii="Calibri" w:hAnsi="Calibri" w:eastAsia="宋体" w:cs="Calibri"/>
      <w:color w:val="FF0000"/>
      <w:sz w:val="18"/>
      <w:szCs w:val="18"/>
    </w:rPr>
  </w:style>
  <w:style w:type="paragraph" w:customStyle="1" w:styleId="21">
    <w:name w:val="table of figures"/>
    <w:basedOn w:val="1"/>
    <w:next w:val="1"/>
    <w:qFormat/>
    <w:uiPriority w:val="0"/>
    <w:pPr>
      <w:ind w:leftChars="200" w:hanging="200" w:hangingChars="200"/>
    </w:pPr>
  </w:style>
  <w:style w:type="paragraph" w:customStyle="1" w:styleId="22">
    <w:name w:val="大标题QHM"/>
    <w:basedOn w:val="1"/>
    <w:qFormat/>
    <w:uiPriority w:val="0"/>
    <w:pPr>
      <w:snapToGrid w:val="0"/>
      <w:spacing w:after="50" w:afterLines="50" w:line="240" w:lineRule="auto"/>
      <w:jc w:val="center"/>
    </w:pPr>
    <w:rPr>
      <w:rFonts w:eastAsia="黑体"/>
      <w:sz w:val="36"/>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2021-08-04T03:10:00Z</dcterms:created>
  <dc:creator>酷酷洛</dc:creator>
  <cp:lastModifiedBy>Lenovo</cp:lastModifiedBy>
  <cp:lastPrinted>2021-09-18T01:00:00Z</cp:lastPrinted>
  <dcterms:modified xsi:type="dcterms:W3CDTF">2021-12-13T10:53:46Z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AD48923420A94D5687ADF4B0400C5D95</vt:lpwstr>
  </property>
  <property fmtid="{D5CDD505-2E9C-101B-9397-08002B2CF9AE}" pid="4" name="KSOSaveFontToCloudKey">
    <vt:lpwstr>450768380_cloud</vt:lpwstr>
  </property>
</Properties>
</file>